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0107" w14:textId="77777777" w:rsidR="00054090" w:rsidRDefault="00054090" w:rsidP="00E904C3">
      <w:pPr>
        <w:pStyle w:val="Titre1"/>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rStyle w:val="TitreCar"/>
        </w:rPr>
      </w:pPr>
      <w:r>
        <w:rPr>
          <w:rStyle w:val="TitreCar"/>
        </w:rPr>
        <w:t>378 798 995 RCS BEZIERS</w:t>
      </w:r>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0FF7144" w:rsidR="00644A31" w:rsidRDefault="00644A31" w:rsidP="00941905">
      <w:pPr>
        <w:jc w:val="both"/>
        <w:rPr>
          <w:rFonts w:ascii="Cambria" w:hAnsi="Cambria"/>
          <w:b/>
          <w:sz w:val="24"/>
          <w:szCs w:val="24"/>
        </w:rPr>
      </w:pPr>
    </w:p>
    <w:p w14:paraId="12A9416E" w14:textId="77777777" w:rsidR="00E904C3" w:rsidRPr="002F16BB" w:rsidRDefault="00E904C3"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EC2D9D2"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00523CA2">
        <w:rPr>
          <w:b/>
          <w:bCs/>
          <w:i/>
          <w:iCs/>
        </w:rPr>
        <w:t>19 avril</w:t>
      </w:r>
      <w:r w:rsidRPr="00DC249C">
        <w:rPr>
          <w:b/>
          <w:bCs/>
          <w:i/>
          <w:iCs/>
        </w:rPr>
        <w:t xml:space="preserve"> 2022)</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07A5AF3C" w14:textId="7A404D8F" w:rsidR="003D3994" w:rsidRDefault="003D3994" w:rsidP="00941905">
      <w:pPr>
        <w:pStyle w:val="Titre3"/>
        <w:jc w:val="center"/>
        <w:rPr>
          <w:rFonts w:ascii="Times New Roman" w:hAnsi="Times New Roman"/>
          <w:b w:val="0"/>
          <w:bCs w:val="0"/>
          <w:sz w:val="20"/>
          <w:szCs w:val="20"/>
        </w:rPr>
      </w:pPr>
    </w:p>
    <w:p w14:paraId="0FEC7312" w14:textId="023FD907" w:rsidR="003D3994" w:rsidRDefault="003D3994" w:rsidP="003D3994"/>
    <w:p w14:paraId="6675A0A1" w14:textId="49A03E72" w:rsidR="00E904C3" w:rsidRDefault="00E904C3" w:rsidP="003D3994"/>
    <w:p w14:paraId="238872DC" w14:textId="44AB146C" w:rsidR="00E904C3" w:rsidRDefault="00E904C3" w:rsidP="003D3994"/>
    <w:p w14:paraId="723B5D68" w14:textId="6A7B4761" w:rsidR="00E904C3" w:rsidRDefault="00E904C3" w:rsidP="003D3994"/>
    <w:p w14:paraId="166E43F6" w14:textId="1F31E12D" w:rsidR="00E904C3" w:rsidRDefault="00E904C3" w:rsidP="003D3994"/>
    <w:p w14:paraId="579846A6" w14:textId="07DB3D34" w:rsidR="00E904C3" w:rsidRDefault="00E904C3" w:rsidP="003D3994"/>
    <w:p w14:paraId="00C7A0C7" w14:textId="056F9E34" w:rsidR="00E904C3" w:rsidRDefault="00E904C3" w:rsidP="003D3994"/>
    <w:p w14:paraId="2614F54E" w14:textId="0D136A18" w:rsidR="00E904C3" w:rsidRDefault="00E904C3" w:rsidP="003D3994"/>
    <w:p w14:paraId="3CD9CA1D" w14:textId="77777777" w:rsidR="00E904C3" w:rsidRDefault="00E904C3" w:rsidP="003D3994"/>
    <w:p w14:paraId="2D5F1957" w14:textId="26D90EEF" w:rsidR="003D3994" w:rsidRDefault="003D3994" w:rsidP="003D3994"/>
    <w:p w14:paraId="701EAE3A" w14:textId="44ED4F37" w:rsidR="003D3994" w:rsidRPr="00B63903" w:rsidRDefault="003D3994" w:rsidP="00B63903">
      <w:pPr>
        <w:jc w:val="right"/>
        <w:rPr>
          <w:b/>
          <w:bCs/>
          <w:i/>
          <w:iCs/>
        </w:rPr>
      </w:pPr>
      <w:r w:rsidRPr="00B63903">
        <w:rPr>
          <w:b/>
          <w:bCs/>
          <w:i/>
          <w:iCs/>
        </w:rPr>
        <w:t xml:space="preserve">Certifiés conformes par le Gérant le </w:t>
      </w:r>
      <w:r w:rsidR="00523CA2">
        <w:rPr>
          <w:b/>
          <w:bCs/>
          <w:i/>
          <w:iCs/>
        </w:rPr>
        <w:t>19 avril 2022</w:t>
      </w:r>
    </w:p>
    <w:p w14:paraId="186D7F53" w14:textId="0F05A709" w:rsidR="003D3994" w:rsidRDefault="003D3994" w:rsidP="003D3994"/>
    <w:p w14:paraId="66E5B0B3" w14:textId="566DC87E" w:rsidR="003D3994" w:rsidRDefault="003D3994" w:rsidP="003D3994"/>
    <w:p w14:paraId="4CB163B0" w14:textId="624C0954" w:rsidR="003D3994" w:rsidRDefault="003D3994" w:rsidP="003D3994"/>
    <w:p w14:paraId="1A0EC970" w14:textId="2EBB6C66" w:rsidR="003D3994" w:rsidRDefault="003D3994" w:rsidP="003D3994"/>
    <w:p w14:paraId="673A53FD" w14:textId="77777777" w:rsidR="003D3994" w:rsidRPr="003D3994" w:rsidRDefault="003D3994" w:rsidP="00B63903"/>
    <w:p w14:paraId="2975EACE" w14:textId="1307BC9E" w:rsidR="003D3994" w:rsidRDefault="003D3994" w:rsidP="00941905">
      <w:pPr>
        <w:jc w:val="cente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0C7157CC" w14:textId="77777777" w:rsidR="00600E58" w:rsidRDefault="00600E58" w:rsidP="00941905">
      <w:pPr>
        <w:jc w:val="both"/>
      </w:pPr>
    </w:p>
    <w:p w14:paraId="473403F7" w14:textId="77777777" w:rsidR="00A76A00" w:rsidRPr="00A76A00" w:rsidRDefault="00A76A00" w:rsidP="00941905">
      <w:pPr>
        <w:jc w:val="both"/>
      </w:pPr>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341EC92" w14:textId="7FC30FC3" w:rsidR="00600E58" w:rsidRDefault="00600E58" w:rsidP="00941905">
      <w:pPr>
        <w:jc w:val="both"/>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5A154EB4" w:rsidR="006F6818" w:rsidRDefault="006F6818" w:rsidP="00941905">
      <w:pPr>
        <w:jc w:val="both"/>
      </w:pPr>
      <w:r>
        <w:t xml:space="preserve">La Société a pour objet </w:t>
      </w:r>
      <w:r w:rsidR="00FD6CA7">
        <w:t>l’acquisition,</w:t>
      </w:r>
      <w:r>
        <w:t xml:space="preserve"> la </w:t>
      </w:r>
      <w:r w:rsidR="00600E58">
        <w:t>propriété</w:t>
      </w:r>
      <w:r w:rsidR="00470420">
        <w:t>,</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rrain situé à PARIS (75019),</w:t>
      </w:r>
      <w:r w:rsidR="00523CA2">
        <w:t xml:space="preserve"> 218</w:t>
      </w:r>
      <w:r w:rsidR="000F12B8">
        <w:t xml:space="preserve"> -</w:t>
      </w:r>
      <w:r w:rsidR="00523CA2">
        <w:t xml:space="preserve"> </w:t>
      </w:r>
      <w:r w:rsidR="00600E58">
        <w:t xml:space="preserve">220 -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pPr>
    </w:p>
    <w:p w14:paraId="0FC628B1"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4013D1BD"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 </w:t>
      </w:r>
    </w:p>
    <w:p w14:paraId="5362056B" w14:textId="77777777" w:rsidR="009F10C4" w:rsidRPr="00470420"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1D7506A7" w14:textId="7E793870" w:rsidR="000E60C4" w:rsidRDefault="000E60C4" w:rsidP="00941905">
      <w:pPr>
        <w:jc w:val="both"/>
      </w:pPr>
    </w:p>
    <w:p w14:paraId="0B7713DB" w14:textId="77777777" w:rsidR="000F12B8" w:rsidRDefault="000F12B8"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9 Impasse Les Haut de Sérignan, 34410 SÉRIGNAN</w:t>
      </w:r>
      <w:r w:rsidR="00390B33">
        <w:t xml:space="preserve">. </w:t>
      </w:r>
    </w:p>
    <w:p w14:paraId="03A7B46E" w14:textId="77777777" w:rsidR="00600E58" w:rsidRDefault="00600E58" w:rsidP="00941905">
      <w:pPr>
        <w:jc w:val="both"/>
      </w:pPr>
    </w:p>
    <w:p w14:paraId="53C1825A" w14:textId="37CDCFA1" w:rsidR="006F6818" w:rsidRDefault="006F6818" w:rsidP="00941905">
      <w:pPr>
        <w:jc w:val="both"/>
      </w:pPr>
      <w:r>
        <w:t xml:space="preserve">Il pourra être transféré en tout endroit </w:t>
      </w:r>
      <w:r w:rsidR="00390B33">
        <w:t xml:space="preserve">dans le même </w:t>
      </w:r>
      <w:r>
        <w:t xml:space="preserve">département </w:t>
      </w:r>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523CA2">
        <w:t>D</w:t>
      </w:r>
      <w:r w:rsidR="0048528D">
        <w:t>ix-</w:t>
      </w:r>
      <w:r w:rsidR="00523CA2">
        <w:t>H</w:t>
      </w:r>
      <w:r w:rsidR="009F10C4">
        <w:t>uit</w:t>
      </w:r>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7D5C228B" w:rsidR="006F6818" w:rsidRDefault="006F6818" w:rsidP="00941905">
      <w:pPr>
        <w:jc w:val="both"/>
      </w:pPr>
      <w:r>
        <w:t>La durée de la société est fixée à soixante années à compter de son immatriculation</w:t>
      </w:r>
      <w:r w:rsidR="00523CA2">
        <w:t>, soit à compter du 25 juillet 1990</w:t>
      </w:r>
      <w:r>
        <w:t>.</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070A57CD" w14:textId="528D9A50" w:rsidR="00F8480D" w:rsidRPr="002B554A" w:rsidRDefault="00CA49A2" w:rsidP="002B554A">
      <w:pPr>
        <w:jc w:val="center"/>
        <w:rPr>
          <w:u w:val="single"/>
        </w:rPr>
      </w:pPr>
      <w:r w:rsidRPr="00390B33">
        <w:rPr>
          <w:u w:val="single"/>
        </w:rPr>
        <w:t>ARTICLE SIXI</w:t>
      </w:r>
      <w:r w:rsidR="00A76A00" w:rsidRPr="00390B33">
        <w:rPr>
          <w:u w:val="single"/>
        </w:rPr>
        <w:t>È</w:t>
      </w:r>
      <w:r w:rsidRPr="00390B33">
        <w:rPr>
          <w:u w:val="single"/>
        </w:rPr>
        <w:t>ME : CAPITAL</w:t>
      </w:r>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5719988C" w14:textId="1D65C349" w:rsidR="009F10C4" w:rsidRDefault="009F10C4" w:rsidP="00003B4F">
      <w:pPr>
        <w:jc w:val="both"/>
        <w:rPr>
          <w:i/>
          <w:iCs/>
        </w:rPr>
      </w:pPr>
    </w:p>
    <w:p w14:paraId="6401814A" w14:textId="28C9CF72" w:rsidR="002B554A" w:rsidRDefault="002B554A" w:rsidP="00003B4F">
      <w:pPr>
        <w:jc w:val="both"/>
        <w:rPr>
          <w:i/>
          <w:iCs/>
        </w:rPr>
      </w:pPr>
    </w:p>
    <w:p w14:paraId="612820E7" w14:textId="5B832B9D" w:rsidR="002B554A" w:rsidRDefault="002B554A" w:rsidP="00003B4F">
      <w:pPr>
        <w:jc w:val="both"/>
        <w:rPr>
          <w:i/>
          <w:iCs/>
        </w:rPr>
      </w:pPr>
    </w:p>
    <w:p w14:paraId="522CFCE0" w14:textId="22EE0B39" w:rsidR="002B554A" w:rsidRDefault="002B554A" w:rsidP="00003B4F">
      <w:pPr>
        <w:jc w:val="both"/>
        <w:rPr>
          <w:i/>
          <w:iCs/>
        </w:rPr>
      </w:pPr>
    </w:p>
    <w:p w14:paraId="21314820" w14:textId="7AA8B2DC" w:rsidR="002B554A" w:rsidRDefault="002B554A" w:rsidP="00003B4F">
      <w:pPr>
        <w:jc w:val="both"/>
        <w:rPr>
          <w:i/>
          <w:iCs/>
        </w:rPr>
      </w:pPr>
    </w:p>
    <w:p w14:paraId="34E2ADD0" w14:textId="77777777" w:rsidR="002B554A" w:rsidRDefault="002B554A" w:rsidP="00003B4F">
      <w:pPr>
        <w:jc w:val="both"/>
        <w:rPr>
          <w:i/>
          <w:iCs/>
        </w:rPr>
      </w:pPr>
    </w:p>
    <w:p w14:paraId="5D16E3C7" w14:textId="487BF5B4" w:rsidR="009F10C4" w:rsidRDefault="009F10C4" w:rsidP="00003B4F">
      <w:pPr>
        <w:jc w:val="both"/>
        <w:rPr>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t>Numérotées de 1 à 124</w:t>
            </w:r>
          </w:p>
        </w:tc>
        <w:tc>
          <w:tcPr>
            <w:tcW w:w="2262" w:type="dxa"/>
            <w:vAlign w:val="center"/>
          </w:tcPr>
          <w:p w14:paraId="0F04F6F5" w14:textId="77777777" w:rsidR="00003B4F" w:rsidRDefault="00003B4F" w:rsidP="00675635">
            <w:r w:rsidRPr="00003B4F">
              <w:t>376 parts</w:t>
            </w:r>
          </w:p>
          <w:p w14:paraId="10A154E8" w14:textId="3469BCF3" w:rsidR="00675635" w:rsidRPr="00675635" w:rsidRDefault="00675635" w:rsidP="00675635">
            <w:pPr>
              <w:rPr>
                <w:i/>
                <w:iCs/>
                <w:sz w:val="16"/>
                <w:szCs w:val="16"/>
              </w:rPr>
            </w:pPr>
            <w:r w:rsidRPr="00675635">
              <w:rPr>
                <w:i/>
                <w:iCs/>
                <w:sz w:val="16"/>
                <w:szCs w:val="16"/>
              </w:rPr>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7732E332" w:rsidR="00DF6E97" w:rsidRDefault="00DF6E97" w:rsidP="00941905">
      <w:pPr>
        <w:spacing w:after="60"/>
        <w:jc w:val="both"/>
      </w:pPr>
      <w:r>
        <w:t>Chacun des associés a versé en numéraire en son nom personnel ou en qualité d’ayant droit de Monsieur</w:t>
      </w:r>
      <w:r w:rsidR="00523CA2">
        <w:t xml:space="preserve"> Michel </w:t>
      </w:r>
      <w:r>
        <w:t>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75F45BC0"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r w:rsidR="00523CA2">
        <w:t>D</w:t>
      </w:r>
      <w:r w:rsidR="007A7923">
        <w:t>ix-</w:t>
      </w:r>
      <w:r w:rsidR="00523CA2">
        <w:t>H</w:t>
      </w:r>
      <w:r w:rsidR="007A7923">
        <w:t>uit</w:t>
      </w:r>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r w:rsidR="000E60C4">
        <w:t>ts</w:t>
      </w:r>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4BF1C86E"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r w:rsidR="00D75057">
        <w:t xml:space="preserve">Huit </w:t>
      </w:r>
      <w:r>
        <w:t>d</w:t>
      </w:r>
      <w:r w:rsidR="00F748A6">
        <w:t>es</w:t>
      </w:r>
      <w:r>
        <w:t xml:space="preserve"> Statuts.</w:t>
      </w:r>
    </w:p>
    <w:p w14:paraId="2990ADA1" w14:textId="77777777" w:rsidR="00F748A6" w:rsidRDefault="00F748A6" w:rsidP="00941905">
      <w:pPr>
        <w:jc w:val="both"/>
      </w:pPr>
    </w:p>
    <w:p w14:paraId="384E3365" w14:textId="15A2F8C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r w:rsidR="00094FD8">
        <w:t xml:space="preserve">Huit </w:t>
      </w:r>
      <w:r>
        <w:t>des Statuts.</w:t>
      </w:r>
    </w:p>
    <w:p w14:paraId="42B93AB8" w14:textId="64174CD4" w:rsidR="00A76A00" w:rsidRDefault="00A76A00" w:rsidP="00941905">
      <w:pPr>
        <w:jc w:val="both"/>
      </w:pPr>
    </w:p>
    <w:p w14:paraId="6CEB5D9E" w14:textId="40D9DDB5" w:rsidR="00094FD8" w:rsidRDefault="00094FD8" w:rsidP="00941905">
      <w:pPr>
        <w:jc w:val="both"/>
      </w:pPr>
    </w:p>
    <w:p w14:paraId="011B4D63" w14:textId="7BFCC3A0" w:rsidR="00094FD8" w:rsidRDefault="00094FD8" w:rsidP="00941905">
      <w:pPr>
        <w:jc w:val="both"/>
      </w:pPr>
    </w:p>
    <w:p w14:paraId="2AE9CD5C" w14:textId="6677FC31" w:rsidR="00470420" w:rsidRDefault="00470420" w:rsidP="00941905">
      <w:pPr>
        <w:jc w:val="both"/>
      </w:pPr>
    </w:p>
    <w:p w14:paraId="2412BF5D" w14:textId="77777777" w:rsidR="00470420" w:rsidRDefault="00470420"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30D3D08E" w:rsidR="006F6818" w:rsidRDefault="006F6818" w:rsidP="00941905">
      <w:pPr>
        <w:jc w:val="both"/>
      </w:pPr>
      <w:r>
        <w:t xml:space="preserve">La propriété d'une part emporte de plein </w:t>
      </w:r>
      <w:r w:rsidR="00470420">
        <w:t xml:space="preserve">droit </w:t>
      </w:r>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r w:rsidR="000E60C4">
        <w:t xml:space="preserve"> </w:t>
      </w:r>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7A8AA056" w:rsidR="006F6818" w:rsidRPr="00C853B2" w:rsidRDefault="0077326B" w:rsidP="00941905">
      <w:pPr>
        <w:jc w:val="both"/>
      </w:pPr>
      <w:r>
        <w:t>Conformément à l’article 1844-5</w:t>
      </w:r>
      <w:r w:rsidR="00C72C50" w:rsidRPr="00C853B2">
        <w:t xml:space="preserve"> du Code Civil,</w:t>
      </w:r>
      <w:r w:rsidR="006F6818" w:rsidRPr="00C853B2">
        <w:t xml:space="preserve"> l'absence, le décès, la minorité, la liquidation judiciaire, faillite ou autre incapacité de l'un ou de plusieurs d</w:t>
      </w:r>
      <w:r w:rsidR="00C72C50" w:rsidRPr="00C853B2">
        <w:t xml:space="preserve">es </w:t>
      </w:r>
      <w:r w:rsidR="006F6818"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1F8CE49D" w:rsidR="006F6818" w:rsidRDefault="0077326B" w:rsidP="00941905">
      <w:pPr>
        <w:jc w:val="both"/>
      </w:pPr>
      <w:r>
        <w:t>Toute cession de parts sociales doit être const</w:t>
      </w:r>
      <w:r w:rsidR="00C61552">
        <w:t>at</w:t>
      </w:r>
      <w:r>
        <w:t xml:space="preserve">ée par un acte notarié ou sous seing privé. </w:t>
      </w:r>
    </w:p>
    <w:p w14:paraId="62FCCB6F" w14:textId="77777777" w:rsidR="00585398" w:rsidRDefault="00585398" w:rsidP="00941905">
      <w:pPr>
        <w:jc w:val="both"/>
      </w:pPr>
    </w:p>
    <w:p w14:paraId="31DFEDF8" w14:textId="4B619DF1" w:rsidR="00962594" w:rsidRPr="00962594" w:rsidRDefault="00962594" w:rsidP="00962594">
      <w:pPr>
        <w:jc w:val="both"/>
      </w:pPr>
      <w:r w:rsidRPr="00962594">
        <w:t>Pour être opposable aux tiers, la cession doit avoir été déposée au greffe, en annexe au registre du commerce et des sociétés.</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2D689BED"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r w:rsidR="00D75057">
        <w:t>Huit</w:t>
      </w:r>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5C7F613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2132AF30" w:rsidR="006F6818" w:rsidRDefault="006F6818" w:rsidP="00941905">
      <w:pPr>
        <w:jc w:val="both"/>
      </w:pPr>
      <w:r>
        <w:t>Hormis celles</w:t>
      </w:r>
      <w:r w:rsidR="00077654">
        <w:t xml:space="preserve"> sus-indiquées en </w:t>
      </w:r>
      <w:r w:rsidR="0077326B">
        <w:t>l</w:t>
      </w:r>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307780FB"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r w:rsidR="0077326B">
        <w:t>4</w:t>
      </w:r>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r w:rsidR="0077326B">
        <w:t xml:space="preserve">d’un </w:t>
      </w:r>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lastRenderedPageBreak/>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739BEE0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r w:rsidR="0077326B">
        <w:t>elle-même</w:t>
      </w:r>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26A1B19D" w:rsidR="006F6818" w:rsidRDefault="006F6818" w:rsidP="00941905">
      <w:pPr>
        <w:jc w:val="both"/>
      </w:pPr>
      <w:r>
        <w:t xml:space="preserve">La société est gérée par un ou plusieurs gérants nommés par l'assemblée générale ou par les associés dans les conditions de l'article </w:t>
      </w:r>
      <w:r w:rsidR="00523CA2">
        <w:t>D</w:t>
      </w:r>
      <w:r w:rsidR="0048528D">
        <w:t>ix-</w:t>
      </w:r>
      <w:r w:rsidR="00D75057">
        <w:t xml:space="preserve">Huit </w:t>
      </w:r>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mpasse les Haut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2AD37F4E" w:rsidR="006F6818" w:rsidRDefault="00D65B67" w:rsidP="00941905">
      <w:pPr>
        <w:jc w:val="both"/>
      </w:pPr>
      <w:r>
        <w:t>L</w:t>
      </w:r>
      <w:r w:rsidR="006F6818">
        <w:t>a rémunération de la Gérance sera fixé</w:t>
      </w:r>
      <w:r w:rsidR="00FD3A8C">
        <w:t xml:space="preserve">e par </w:t>
      </w:r>
      <w:r w:rsidR="006F6818">
        <w:t>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r w:rsidR="00815A78">
        <w:rPr>
          <w:u w:val="single"/>
        </w:rPr>
        <w:t xml:space="preserve"> DE LA GÉRANCE</w:t>
      </w:r>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r w:rsidR="0077326B">
        <w:t xml:space="preserve">les plus étendus </w:t>
      </w:r>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77777777"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941905">
      <w:pPr>
        <w:jc w:val="both"/>
      </w:pPr>
    </w:p>
    <w:p w14:paraId="7CD527DA" w14:textId="77777777" w:rsidR="006F6818" w:rsidRDefault="006F6818" w:rsidP="00941905">
      <w:pPr>
        <w:jc w:val="both"/>
      </w:pPr>
      <w:r>
        <w:lastRenderedPageBreak/>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ils font ouvrir et font fonctionner tous comptes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Ils font ouvrir au nom de la Société tous comp</w:t>
      </w:r>
      <w:r w:rsidR="00286F82">
        <w:t>tes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6E5FBADA"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w:t>
      </w:r>
      <w:r w:rsidR="00523CA2">
        <w:t>H</w:t>
      </w:r>
      <w:r w:rsidR="0006644D">
        <w:t>uit.</w:t>
      </w:r>
    </w:p>
    <w:p w14:paraId="6A139F8D" w14:textId="77777777" w:rsidR="0069691E" w:rsidRDefault="0069691E" w:rsidP="00941905">
      <w:pPr>
        <w:jc w:val="both"/>
      </w:pPr>
    </w:p>
    <w:p w14:paraId="0DDCC183" w14:textId="4767E620" w:rsidR="0006644D" w:rsidRDefault="0006644D" w:rsidP="00941905">
      <w:pPr>
        <w:jc w:val="both"/>
      </w:pPr>
      <w:r w:rsidRPr="00815A78">
        <w:t xml:space="preserve">I1 est par </w:t>
      </w:r>
      <w:r w:rsidR="0069691E" w:rsidRPr="00815A78">
        <w:t xml:space="preserve">ailleurs donné à </w:t>
      </w:r>
      <w:r w:rsidR="00815A78">
        <w:t>la gérance</w:t>
      </w:r>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tres sommes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personnes que bon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E831B90" w14:textId="77777777" w:rsidR="001750BA" w:rsidRDefault="001750BA" w:rsidP="00941905">
      <w:pPr>
        <w:jc w:val="both"/>
      </w:pPr>
    </w:p>
    <w:p w14:paraId="06C5501D" w14:textId="77777777" w:rsidR="001750BA" w:rsidRDefault="001750BA" w:rsidP="00941905">
      <w:pPr>
        <w:jc w:val="both"/>
      </w:pPr>
    </w:p>
    <w:p w14:paraId="5A9F121E" w14:textId="1BD5B9D6" w:rsidR="001750BA" w:rsidRPr="000C0A4C" w:rsidRDefault="001750BA" w:rsidP="00941905">
      <w:pPr>
        <w:jc w:val="center"/>
        <w:rPr>
          <w:u w:val="single"/>
        </w:rPr>
      </w:pPr>
      <w:r>
        <w:rPr>
          <w:u w:val="single"/>
        </w:rPr>
        <w:t>ARTICLE DIX-</w:t>
      </w:r>
      <w:r w:rsidR="0077326B">
        <w:rPr>
          <w:u w:val="single"/>
        </w:rPr>
        <w:t>HUITI</w:t>
      </w:r>
      <w:r w:rsidR="00FD3A8C">
        <w:rPr>
          <w:u w:val="single"/>
        </w:rPr>
        <w:t>È</w:t>
      </w:r>
      <w:r w:rsidR="0077326B">
        <w:rPr>
          <w:u w:val="single"/>
        </w:rPr>
        <w:t>ME </w:t>
      </w:r>
      <w:r>
        <w:rPr>
          <w:u w:val="single"/>
        </w:rPr>
        <w:t>: ASSEMBL</w:t>
      </w:r>
      <w:r w:rsidR="00941905">
        <w:rPr>
          <w:u w:val="single"/>
        </w:rPr>
        <w:t>É</w:t>
      </w:r>
      <w:r>
        <w:rPr>
          <w:u w:val="single"/>
        </w:rPr>
        <w:t>ES</w:t>
      </w:r>
    </w:p>
    <w:p w14:paraId="30C90F4B" w14:textId="77777777" w:rsidR="00386F7C" w:rsidRPr="00FD3A8C" w:rsidRDefault="00386F7C" w:rsidP="00386F7C">
      <w:pPr>
        <w:tabs>
          <w:tab w:val="left" w:pos="567"/>
          <w:tab w:val="left" w:pos="1134"/>
          <w:tab w:val="left" w:leader="dot" w:pos="6804"/>
          <w:tab w:val="right" w:pos="9072"/>
        </w:tabs>
        <w:spacing w:before="240"/>
        <w:jc w:val="both"/>
      </w:pPr>
      <w:r w:rsidRPr="00FD3A8C">
        <w:t>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des gérants chargé de provoquer la décision collective.</w:t>
      </w:r>
    </w:p>
    <w:p w14:paraId="2C50E747" w14:textId="77777777" w:rsidR="00DF2631" w:rsidRDefault="00DF2631" w:rsidP="00941905">
      <w:pPr>
        <w:jc w:val="both"/>
      </w:pPr>
    </w:p>
    <w:p w14:paraId="704AC4E4" w14:textId="01B956CF" w:rsidR="00CA70A8" w:rsidRDefault="002732F3" w:rsidP="00941905">
      <w:pPr>
        <w:jc w:val="both"/>
      </w:pPr>
      <w:r>
        <w:t xml:space="preserve">Les décisions collectives des associés s’expriment, soit par la participation </w:t>
      </w:r>
      <w:r w:rsidR="00AC594D">
        <w:t>de tous les associés dans un même acte, authentique ou sous signature privée, soit en assemblée. Elles peuvent aussi résulter d’une consultation par correspondance</w:t>
      </w:r>
      <w:r w:rsidR="00964D7C">
        <w:t xml:space="preserve"> (visio-conférence)</w:t>
      </w:r>
      <w:r w:rsidR="00AC594D">
        <w:t xml:space="preserve">. </w:t>
      </w:r>
    </w:p>
    <w:p w14:paraId="118DB5C9" w14:textId="77777777" w:rsidR="00FD3A8C" w:rsidRDefault="00FD3A8C" w:rsidP="00941905">
      <w:pPr>
        <w:jc w:val="both"/>
      </w:pPr>
    </w:p>
    <w:p w14:paraId="2AFC1077" w14:textId="4F6C8741" w:rsidR="00D06BED" w:rsidRPr="00FD3A8C" w:rsidRDefault="00CD4AD2" w:rsidP="00941905">
      <w:pPr>
        <w:jc w:val="both"/>
      </w:pPr>
      <w:r w:rsidRPr="00FD3A8C">
        <w:t>Les associés peuvent tenir une assemblée générale par correspondance (visio-conférence)</w:t>
      </w:r>
      <w:r w:rsidR="007A524D" w:rsidRPr="00FD3A8C">
        <w:t xml:space="preserve"> ou par des moyens de télécommunications permettant leur identification et garantissant leur participation effective par la transmission au moins de la voix des participants</w:t>
      </w:r>
      <w:r w:rsidRPr="00FD3A8C">
        <w:t xml:space="preserve"> et voter à distance les résolutions proposées.</w:t>
      </w:r>
    </w:p>
    <w:p w14:paraId="70E3DE20" w14:textId="77777777" w:rsidR="00FD3A8C" w:rsidRDefault="00FD3A8C" w:rsidP="00D06BED">
      <w:pPr>
        <w:jc w:val="both"/>
        <w:rPr>
          <w:i/>
          <w:iCs/>
        </w:rPr>
      </w:pPr>
    </w:p>
    <w:p w14:paraId="39EB0B2B" w14:textId="2BF4FEE8" w:rsidR="007A524D" w:rsidRDefault="00D06BED" w:rsidP="00D06BED">
      <w:pPr>
        <w:jc w:val="both"/>
      </w:pPr>
      <w:r w:rsidRPr="00DF2631">
        <w:t xml:space="preserve">Les associés sont convoqués </w:t>
      </w:r>
      <w:r w:rsidR="00AC594D">
        <w:t xml:space="preserve">par le gérant </w:t>
      </w:r>
      <w:r w:rsidRPr="00DF2631">
        <w:t>quinze jours</w:t>
      </w:r>
      <w:r w:rsidR="008D39D6">
        <w:t>, à partir de la date d’envoi,</w:t>
      </w:r>
      <w:r w:rsidRPr="00DF2631">
        <w:t xml:space="preserve"> au moins avant la réunion de l'assemblée par lettre recommandée</w:t>
      </w:r>
      <w:r w:rsidR="00FD3A8C">
        <w:t>.</w:t>
      </w:r>
    </w:p>
    <w:p w14:paraId="739B5BBB" w14:textId="77777777" w:rsidR="00D427F1" w:rsidRDefault="00D427F1" w:rsidP="00D06BED">
      <w:pPr>
        <w:jc w:val="both"/>
      </w:pPr>
    </w:p>
    <w:p w14:paraId="308AD79E" w14:textId="069297CE" w:rsidR="00386F7C" w:rsidRDefault="00B061C0" w:rsidP="00D06BED">
      <w:pPr>
        <w:jc w:val="both"/>
      </w:pPr>
      <w:r>
        <w:t xml:space="preserve">Il appartient aux associés d’informer le gérant(co-gérant) de tout changement d’adresse </w:t>
      </w:r>
      <w:r w:rsidR="00386F7C">
        <w:t>postale</w:t>
      </w:r>
      <w:r w:rsidR="00FD3A8C">
        <w:t>.</w:t>
      </w:r>
    </w:p>
    <w:p w14:paraId="31668C22" w14:textId="77777777" w:rsidR="00386F7C" w:rsidRDefault="00386F7C" w:rsidP="00D06BED">
      <w:pPr>
        <w:jc w:val="both"/>
      </w:pPr>
    </w:p>
    <w:p w14:paraId="25C494A6" w14:textId="77777777" w:rsidR="00FD3A8C" w:rsidRDefault="00D06BED" w:rsidP="00FD3A8C">
      <w:pPr>
        <w:jc w:val="both"/>
      </w:pPr>
      <w:r w:rsidRPr="00DF2631">
        <w:t xml:space="preserve">La lettre contient </w:t>
      </w:r>
      <w:r w:rsidR="0077326B">
        <w:t>l’</w:t>
      </w:r>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4175D75C" w14:textId="77777777" w:rsidR="00FD3A8C" w:rsidRDefault="00FD3A8C" w:rsidP="00FD3A8C">
      <w:pPr>
        <w:jc w:val="both"/>
      </w:pPr>
    </w:p>
    <w:p w14:paraId="660B50B1" w14:textId="01875FE0" w:rsidR="0096310F" w:rsidRPr="00FD3A8C" w:rsidRDefault="0096310F" w:rsidP="00FD3A8C">
      <w:pPr>
        <w:jc w:val="both"/>
      </w:pPr>
      <w:r w:rsidRPr="00FD3A8C">
        <w:t>Tout associé peut se faire représenter aux réunions par un autre associé</w:t>
      </w:r>
      <w:r w:rsidR="00FD3A8C" w:rsidRPr="00FD3A8C">
        <w:t xml:space="preserve"> </w:t>
      </w:r>
      <w:r w:rsidRPr="00FD3A8C">
        <w:t xml:space="preserve">étant entendu qu'un mandataire ne peut représenter plus de deux associés. </w:t>
      </w:r>
    </w:p>
    <w:p w14:paraId="5B23875E" w14:textId="77777777" w:rsidR="0096310F" w:rsidRPr="00FD3A8C" w:rsidRDefault="0096310F" w:rsidP="0096310F">
      <w:pPr>
        <w:tabs>
          <w:tab w:val="left" w:pos="567"/>
          <w:tab w:val="left" w:pos="1134"/>
          <w:tab w:val="left" w:leader="dot" w:pos="6804"/>
          <w:tab w:val="right" w:pos="9072"/>
        </w:tabs>
        <w:spacing w:before="240"/>
        <w:jc w:val="both"/>
      </w:pPr>
      <w:r w:rsidRPr="00FD3A8C">
        <w:t>En cas d’indivision, les indivisaires doivent désigner un seul représentant, qui disposera du droit de vote.</w:t>
      </w:r>
    </w:p>
    <w:p w14:paraId="7D0CFEA8" w14:textId="77777777" w:rsidR="0096310F" w:rsidRPr="00FD3A8C" w:rsidRDefault="0096310F" w:rsidP="0096310F">
      <w:pPr>
        <w:tabs>
          <w:tab w:val="left" w:pos="567"/>
          <w:tab w:val="left" w:pos="1134"/>
          <w:tab w:val="left" w:leader="dot" w:pos="6804"/>
          <w:tab w:val="right" w:pos="9072"/>
        </w:tabs>
        <w:spacing w:before="240"/>
        <w:jc w:val="both"/>
      </w:pPr>
      <w:r w:rsidRPr="00FD3A8C">
        <w:t>L’usufruitier peut donner mandat à un nu-propriétaire de le représenter. Dans ce cas, il le fait pour l’ensemble de ses parts sociales, nonobstant toute indivision de la nue-propriété de celle-ci.</w:t>
      </w:r>
    </w:p>
    <w:p w14:paraId="239465F0" w14:textId="51B9F2E9" w:rsidR="00815A78" w:rsidRDefault="00815A78"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646C2135" w:rsidR="0006644D" w:rsidRDefault="0077326B" w:rsidP="00941905">
      <w:pPr>
        <w:jc w:val="both"/>
      </w:pPr>
      <w:r>
        <w:t xml:space="preserve">L’assemblée peut désigner un secrétaire qui peut être pris en dehors de ses associés. </w:t>
      </w:r>
    </w:p>
    <w:p w14:paraId="250A6205" w14:textId="77777777" w:rsidR="00E539C1" w:rsidRPr="00FD3A8C" w:rsidRDefault="00E539C1" w:rsidP="00E539C1">
      <w:pPr>
        <w:tabs>
          <w:tab w:val="left" w:pos="567"/>
          <w:tab w:val="left" w:pos="1134"/>
          <w:tab w:val="left" w:leader="dot" w:pos="6804"/>
          <w:tab w:val="right" w:pos="9072"/>
        </w:tabs>
        <w:spacing w:before="240"/>
        <w:jc w:val="both"/>
      </w:pPr>
      <w:r w:rsidRPr="00FD3A8C">
        <w:lastRenderedPageBreak/>
        <w:t>Il n'est pas désigné de scrutateurs, à moins que la société ne vienne à comprendre plus de dix associés auquel cas le président de séance désigne le scrutateur au sein des membres de l'assemblée.</w:t>
      </w:r>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7B19E84D" w14:textId="77777777" w:rsidR="00E904C3" w:rsidRDefault="00E904C3" w:rsidP="00941905">
      <w:pPr>
        <w:jc w:val="both"/>
      </w:pPr>
      <w:r>
        <w:t>Il</w:t>
      </w:r>
      <w:r w:rsidR="0006644D">
        <w:t xml:space="preserve"> est tenu une feuille de présence contenant les </w:t>
      </w:r>
      <w:r w:rsidR="00CA70A8">
        <w:t xml:space="preserve">noms </w:t>
      </w:r>
      <w:r w:rsidR="0006644D">
        <w:t xml:space="preserve">et domiciles des associés </w:t>
      </w:r>
      <w:r w:rsidR="00CA70A8">
        <w:t>présents et représentés et le nombre</w:t>
      </w:r>
      <w:r w:rsidR="0006644D">
        <w:t xml:space="preserve"> de parts possédées par chacu</w:t>
      </w:r>
      <w:r w:rsidR="00CA70A8">
        <w:t>n d'eux. Cette feuille est signée de</w:t>
      </w:r>
      <w:r w:rsidR="0006644D">
        <w:t xml:space="preserve"> tous les associés présents. Elle est en outre certifiée pa</w:t>
      </w:r>
      <w:r w:rsidR="00CA70A8">
        <w:t>r le</w:t>
      </w:r>
      <w:r w:rsidR="0006644D">
        <w:t xml:space="preserve"> </w:t>
      </w:r>
      <w:r w:rsidR="0077326B">
        <w:t>Président</w:t>
      </w:r>
      <w:r w:rsidR="0006644D">
        <w:t>.</w:t>
      </w:r>
    </w:p>
    <w:p w14:paraId="74DFB3B3" w14:textId="77777777" w:rsidR="00E904C3" w:rsidRDefault="00E904C3" w:rsidP="00941905">
      <w:pPr>
        <w:jc w:val="both"/>
      </w:pPr>
    </w:p>
    <w:p w14:paraId="362ECD7E" w14:textId="2BF1C357" w:rsidR="00F4573A" w:rsidRDefault="00F4573A" w:rsidP="00941905">
      <w:pPr>
        <w:jc w:val="both"/>
      </w:pPr>
      <w:r w:rsidRPr="00F4573A">
        <w:t xml:space="preserve">Chaque associé </w:t>
      </w:r>
      <w:r w:rsidR="00964D7C" w:rsidRPr="00F4573A">
        <w:t>à</w:t>
      </w:r>
      <w:r w:rsidRPr="00F4573A">
        <w:t xml:space="preserve"> un nombre de voix égal au nombre de ses parts et de celles de ses mandants sans limitation.</w:t>
      </w:r>
    </w:p>
    <w:p w14:paraId="107D17E9" w14:textId="77777777" w:rsidR="00962215" w:rsidRDefault="00962215" w:rsidP="00941905">
      <w:pPr>
        <w:jc w:val="both"/>
      </w:pPr>
    </w:p>
    <w:p w14:paraId="5D020B5E" w14:textId="77777777" w:rsidR="00962215" w:rsidRDefault="00962215" w:rsidP="00962215">
      <w:pPr>
        <w:jc w:val="both"/>
      </w:pPr>
      <w:r>
        <w:t xml:space="preserve">L’assemblée ne peut valablement délibérer que si les associés présents ou représentés réunissent au moins la moitié des parts sociales composant le capital social. </w:t>
      </w:r>
    </w:p>
    <w:p w14:paraId="580E5A75" w14:textId="77777777" w:rsidR="00F4573A" w:rsidRDefault="00F4573A" w:rsidP="00F4573A">
      <w:pPr>
        <w:jc w:val="both"/>
      </w:pPr>
    </w:p>
    <w:p w14:paraId="25E29AF0" w14:textId="2580C4E5" w:rsidR="00F4573A" w:rsidRDefault="00F4573A" w:rsidP="00F4573A">
      <w:pPr>
        <w:jc w:val="both"/>
      </w:pPr>
      <w:r>
        <w:t xml:space="preserve">Les décisions sont prises à </w:t>
      </w:r>
      <w:r w:rsidRPr="00F01EAF">
        <w:rPr>
          <w:b/>
          <w:bCs/>
        </w:rPr>
        <w:t>la majorité des voix</w:t>
      </w:r>
      <w:r>
        <w:t>. En cas de partage, la voix du Président est prépondérante.</w:t>
      </w:r>
    </w:p>
    <w:p w14:paraId="65BA1CF3" w14:textId="3FDE5CBE" w:rsidR="00CA70A8" w:rsidRDefault="00CA70A8"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45DC7546" w:rsidR="0006644D" w:rsidRDefault="00750BD4" w:rsidP="00941905">
      <w:pPr>
        <w:jc w:val="both"/>
      </w:pPr>
      <w:r>
        <w:t xml:space="preserve">Les décisions des assemblées, </w:t>
      </w:r>
      <w:r w:rsidR="0006644D">
        <w:t xml:space="preserve">sont </w:t>
      </w:r>
      <w:r w:rsidR="00927803">
        <w:t>constatées par des procès-verbaux signés</w:t>
      </w:r>
      <w:r w:rsidR="0006644D">
        <w:t xml:space="preserve"> du Président inscrits sur un registre spé</w:t>
      </w:r>
      <w:r w:rsidR="00927803">
        <w:t>cial</w:t>
      </w:r>
      <w:r w:rsidR="0006644D">
        <w:t xml:space="preserve"> tenu au Siège de la Société.</w:t>
      </w:r>
      <w:r w:rsidR="0006644D">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53E89AC9" w:rsidR="009E205B" w:rsidRPr="000C0A4C" w:rsidRDefault="00623F51" w:rsidP="00941905">
      <w:pPr>
        <w:jc w:val="center"/>
        <w:rPr>
          <w:u w:val="single"/>
        </w:rPr>
      </w:pPr>
      <w:r>
        <w:rPr>
          <w:u w:val="single"/>
        </w:rPr>
        <w:t xml:space="preserve">ARTICLE </w:t>
      </w:r>
      <w:r w:rsidR="002732F3">
        <w:rPr>
          <w:u w:val="single"/>
        </w:rPr>
        <w:t>DIX NEUVI</w:t>
      </w:r>
      <w:r w:rsidR="000F12B8">
        <w:rPr>
          <w:u w:val="single"/>
        </w:rPr>
        <w:t>È</w:t>
      </w:r>
      <w:r w:rsidR="002732F3">
        <w:rPr>
          <w:u w:val="single"/>
        </w:rPr>
        <w:t>ME </w:t>
      </w:r>
      <w:r>
        <w:rPr>
          <w:u w:val="single"/>
        </w:rPr>
        <w:t>: EXERCICE SOCIAL</w:t>
      </w:r>
    </w:p>
    <w:p w14:paraId="7E35E6CE" w14:textId="77777777" w:rsidR="00927803" w:rsidRDefault="00927803" w:rsidP="00941905">
      <w:pPr>
        <w:jc w:val="both"/>
      </w:pPr>
    </w:p>
    <w:p w14:paraId="0B0EDB5D" w14:textId="2554FF16" w:rsidR="00623F51" w:rsidRDefault="0006644D" w:rsidP="00941905">
      <w:pPr>
        <w:jc w:val="both"/>
      </w:pPr>
      <w:r>
        <w:t>L'exercic</w:t>
      </w:r>
      <w:r w:rsidR="00623F51">
        <w:t>e social commence le 1</w:t>
      </w:r>
      <w:r>
        <w:t xml:space="preserve">er Janvier et finit 31 Décembre. </w:t>
      </w:r>
    </w:p>
    <w:p w14:paraId="0CC531DF" w14:textId="77777777" w:rsidR="00941905" w:rsidRDefault="00941905" w:rsidP="00941905">
      <w:pPr>
        <w:jc w:val="both"/>
      </w:pPr>
    </w:p>
    <w:p w14:paraId="5402460B" w14:textId="77777777" w:rsidR="00623F51" w:rsidRDefault="00623F51" w:rsidP="00941905">
      <w:pPr>
        <w:jc w:val="both"/>
      </w:pPr>
    </w:p>
    <w:p w14:paraId="7645E3DE" w14:textId="5B4BD2D6" w:rsidR="00623F51" w:rsidRPr="000C0A4C" w:rsidRDefault="00623F51" w:rsidP="00941905">
      <w:pPr>
        <w:jc w:val="center"/>
        <w:rPr>
          <w:u w:val="single"/>
        </w:rPr>
      </w:pPr>
      <w:r>
        <w:rPr>
          <w:u w:val="single"/>
        </w:rPr>
        <w:t xml:space="preserve">ARTICLE </w:t>
      </w:r>
      <w:r w:rsidR="002732F3">
        <w:rPr>
          <w:u w:val="single"/>
        </w:rPr>
        <w:t>VINGTI</w:t>
      </w:r>
      <w:r w:rsidR="000F12B8">
        <w:rPr>
          <w:u w:val="single"/>
        </w:rPr>
        <w:t>È</w:t>
      </w:r>
      <w:r w:rsidR="002732F3">
        <w:rPr>
          <w:u w:val="single"/>
        </w:rPr>
        <w:t>ME</w:t>
      </w:r>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3074D8C5" w:rsidR="0006644D" w:rsidRDefault="0006644D" w:rsidP="00941905">
      <w:pPr>
        <w:jc w:val="both"/>
      </w:pPr>
      <w:r>
        <w:t xml:space="preserve">La Gérance tiendra une comptabilité régulière </w:t>
      </w:r>
      <w:r w:rsidR="00E904C3">
        <w:t xml:space="preserve">par un cabinet inscrit à l’ordre des experts-comptables, </w:t>
      </w:r>
      <w:r w:rsidR="00623F51">
        <w:t xml:space="preserve">des </w:t>
      </w:r>
      <w:r>
        <w:t>opérations sociales et établira, conformément à l'Article D</w:t>
      </w:r>
      <w:r w:rsidR="00233B46">
        <w:t>ix-</w:t>
      </w:r>
      <w:r>
        <w:t xml:space="preserve"> </w:t>
      </w:r>
      <w:r w:rsidR="00523CA2">
        <w:t>H</w:t>
      </w:r>
      <w:r w:rsidR="00D75057">
        <w:t>uit</w:t>
      </w:r>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29C320D7" w:rsidR="0006644D" w:rsidRDefault="0006644D" w:rsidP="00941905">
      <w:pPr>
        <w:jc w:val="both"/>
      </w:pPr>
      <w:r>
        <w:t xml:space="preserve">La Gérance propose à l'Assemblée l'emploi de </w:t>
      </w:r>
      <w:r w:rsidR="00623F51">
        <w:t xml:space="preserve">ces </w:t>
      </w:r>
      <w:r>
        <w:t xml:space="preserve">bénéfices, soit par la constitution de réserves, </w:t>
      </w:r>
      <w:r w:rsidR="00E904C3">
        <w:t>et/ou</w:t>
      </w:r>
      <w:r>
        <w:t xml:space="preserve">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14CE6108" w:rsidR="00623F51" w:rsidRPr="000C0A4C" w:rsidRDefault="00623F51" w:rsidP="00941905">
      <w:pPr>
        <w:jc w:val="center"/>
        <w:rPr>
          <w:u w:val="single"/>
        </w:rPr>
      </w:pPr>
      <w:r>
        <w:rPr>
          <w:u w:val="single"/>
        </w:rPr>
        <w:t>ARTICLE VINGT-</w:t>
      </w:r>
      <w:r w:rsidR="002732F3">
        <w:rPr>
          <w:u w:val="single"/>
        </w:rPr>
        <w:t>ET UNI</w:t>
      </w:r>
      <w:r w:rsidR="00B27A80">
        <w:rPr>
          <w:u w:val="single"/>
        </w:rPr>
        <w:t>È</w:t>
      </w:r>
      <w:r w:rsidR="002732F3">
        <w:rPr>
          <w:u w:val="single"/>
        </w:rPr>
        <w:t xml:space="preserve">ME </w:t>
      </w:r>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5D9A4980" w:rsidR="00D06BED" w:rsidRDefault="00D06BED" w:rsidP="00941905">
      <w:pPr>
        <w:jc w:val="both"/>
      </w:pPr>
    </w:p>
    <w:p w14:paraId="0302AE03" w14:textId="18DA5BE5" w:rsidR="00B27A80" w:rsidRDefault="00B27A80" w:rsidP="00941905">
      <w:pPr>
        <w:jc w:val="both"/>
      </w:pPr>
    </w:p>
    <w:p w14:paraId="0C041984" w14:textId="1453A5B6" w:rsidR="00B27A80" w:rsidRDefault="00B27A80" w:rsidP="00941905">
      <w:pPr>
        <w:jc w:val="both"/>
      </w:pPr>
    </w:p>
    <w:p w14:paraId="6808F8E7" w14:textId="77777777" w:rsidR="00B27A80" w:rsidRDefault="00B27A80" w:rsidP="00941905">
      <w:pPr>
        <w:jc w:val="both"/>
      </w:pPr>
    </w:p>
    <w:p w14:paraId="455A8AB0" w14:textId="1593AE81" w:rsidR="00623F51" w:rsidRPr="000C0A4C" w:rsidRDefault="00623F51" w:rsidP="00941905">
      <w:pPr>
        <w:jc w:val="center"/>
        <w:rPr>
          <w:u w:val="single"/>
        </w:rPr>
      </w:pPr>
      <w:r>
        <w:rPr>
          <w:u w:val="single"/>
        </w:rPr>
        <w:lastRenderedPageBreak/>
        <w:t>ARTICLE VINGT-</w:t>
      </w:r>
      <w:r w:rsidR="002732F3">
        <w:rPr>
          <w:u w:val="single"/>
        </w:rPr>
        <w:t>DEUXI</w:t>
      </w:r>
      <w:r w:rsidR="00B27A80">
        <w:rPr>
          <w:u w:val="single"/>
        </w:rPr>
        <w:t>È</w:t>
      </w:r>
      <w:r w:rsidR="002732F3">
        <w:rPr>
          <w:u w:val="single"/>
        </w:rPr>
        <w:t>ME</w:t>
      </w:r>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5FF7F755" w:rsidR="007D2C40" w:rsidRPr="000C0A4C" w:rsidRDefault="007D2C40" w:rsidP="00941905">
      <w:pPr>
        <w:jc w:val="center"/>
        <w:rPr>
          <w:u w:val="single"/>
        </w:rPr>
      </w:pPr>
      <w:r>
        <w:rPr>
          <w:u w:val="single"/>
        </w:rPr>
        <w:t>ARTICLE VINGT-</w:t>
      </w:r>
      <w:r w:rsidR="002732F3">
        <w:rPr>
          <w:u w:val="single"/>
        </w:rPr>
        <w:t>TROISI</w:t>
      </w:r>
      <w:r w:rsidR="00B27A80">
        <w:rPr>
          <w:u w:val="single"/>
        </w:rPr>
        <w:t>È</w:t>
      </w:r>
      <w:r w:rsidR="002732F3">
        <w:rPr>
          <w:u w:val="single"/>
        </w:rPr>
        <w:t>ME </w:t>
      </w:r>
      <w:r>
        <w:rPr>
          <w:u w:val="single"/>
        </w:rPr>
        <w:t>: CONTESTATIONS</w:t>
      </w:r>
    </w:p>
    <w:p w14:paraId="0CE30A42" w14:textId="77777777" w:rsidR="007D2C40" w:rsidRDefault="007D2C40" w:rsidP="00941905">
      <w:pPr>
        <w:jc w:val="both"/>
      </w:pPr>
    </w:p>
    <w:p w14:paraId="7D0D31F5" w14:textId="3DCFB11F"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63CAC402" w14:textId="74CE6115" w:rsidR="00E904C3" w:rsidRDefault="00E904C3" w:rsidP="00941905">
      <w:pPr>
        <w:jc w:val="both"/>
      </w:pPr>
    </w:p>
    <w:p w14:paraId="2C6F5319" w14:textId="45D3B249" w:rsidR="00E904C3" w:rsidRDefault="00E904C3" w:rsidP="00941905">
      <w:pPr>
        <w:jc w:val="both"/>
      </w:pPr>
    </w:p>
    <w:p w14:paraId="656B69F1" w14:textId="64CC3111" w:rsidR="00E904C3" w:rsidRDefault="00E904C3" w:rsidP="00941905">
      <w:pPr>
        <w:jc w:val="both"/>
      </w:pPr>
    </w:p>
    <w:p w14:paraId="0883564F" w14:textId="3192D537" w:rsidR="00E904C3" w:rsidRDefault="00E904C3" w:rsidP="00941905">
      <w:pPr>
        <w:jc w:val="both"/>
      </w:pPr>
    </w:p>
    <w:p w14:paraId="690A6184" w14:textId="4E4BEA2E" w:rsidR="00E904C3" w:rsidRDefault="00E904C3" w:rsidP="00941905">
      <w:pPr>
        <w:jc w:val="both"/>
      </w:pPr>
    </w:p>
    <w:p w14:paraId="5163CFC2" w14:textId="7D2638A3" w:rsidR="00E904C3" w:rsidRDefault="00E904C3" w:rsidP="00941905">
      <w:pPr>
        <w:jc w:val="both"/>
      </w:pPr>
    </w:p>
    <w:p w14:paraId="3E57CC63" w14:textId="4948BF84" w:rsidR="00E904C3" w:rsidRDefault="00E904C3" w:rsidP="00941905">
      <w:pPr>
        <w:jc w:val="both"/>
      </w:pPr>
    </w:p>
    <w:p w14:paraId="06E804B9" w14:textId="0E09D18D" w:rsidR="00E904C3" w:rsidRDefault="00E904C3" w:rsidP="00941905">
      <w:pPr>
        <w:jc w:val="both"/>
      </w:pPr>
    </w:p>
    <w:p w14:paraId="29B8C55F" w14:textId="30789B5D" w:rsidR="00E904C3" w:rsidRDefault="00E904C3" w:rsidP="00941905">
      <w:pPr>
        <w:jc w:val="both"/>
      </w:pPr>
    </w:p>
    <w:p w14:paraId="1DED0E10" w14:textId="2A413609" w:rsidR="00E904C3" w:rsidRDefault="00E904C3" w:rsidP="00941905">
      <w:pPr>
        <w:jc w:val="both"/>
      </w:pPr>
    </w:p>
    <w:p w14:paraId="22C2AFEB" w14:textId="21E38A23" w:rsidR="00E904C3" w:rsidRDefault="00E904C3" w:rsidP="00941905">
      <w:pPr>
        <w:jc w:val="both"/>
      </w:pPr>
    </w:p>
    <w:p w14:paraId="31372A4C" w14:textId="2C5E6753" w:rsidR="00E904C3" w:rsidRDefault="00E904C3" w:rsidP="00941905">
      <w:pPr>
        <w:jc w:val="both"/>
      </w:pPr>
    </w:p>
    <w:p w14:paraId="3CAE9A18" w14:textId="115A5460" w:rsidR="00E904C3" w:rsidRDefault="00E904C3" w:rsidP="00941905">
      <w:pPr>
        <w:jc w:val="both"/>
      </w:pPr>
    </w:p>
    <w:p w14:paraId="5163AF8E" w14:textId="7852BBC4" w:rsidR="00E904C3" w:rsidRDefault="00E904C3" w:rsidP="00941905">
      <w:pPr>
        <w:jc w:val="both"/>
      </w:pPr>
    </w:p>
    <w:p w14:paraId="18FA3E99" w14:textId="534038BD" w:rsidR="00E904C3" w:rsidRDefault="00E904C3" w:rsidP="00941905">
      <w:pPr>
        <w:jc w:val="both"/>
      </w:pPr>
    </w:p>
    <w:p w14:paraId="61CD9D99" w14:textId="2823E8D9" w:rsidR="00E904C3" w:rsidRDefault="00E904C3" w:rsidP="00941905">
      <w:pPr>
        <w:jc w:val="both"/>
      </w:pPr>
    </w:p>
    <w:p w14:paraId="04A8A6C0" w14:textId="5511C607" w:rsidR="00E904C3" w:rsidRDefault="00E904C3" w:rsidP="00941905">
      <w:pPr>
        <w:jc w:val="both"/>
      </w:pPr>
    </w:p>
    <w:p w14:paraId="25E6CFD0" w14:textId="22BF2D2A" w:rsidR="00E904C3" w:rsidRDefault="00E904C3" w:rsidP="00941905">
      <w:pPr>
        <w:jc w:val="both"/>
      </w:pPr>
    </w:p>
    <w:p w14:paraId="1B346C7E" w14:textId="4532D525" w:rsidR="00E904C3" w:rsidRDefault="00E904C3" w:rsidP="00941905">
      <w:pPr>
        <w:jc w:val="both"/>
      </w:pPr>
    </w:p>
    <w:p w14:paraId="4A27CF32" w14:textId="74449A6F" w:rsidR="00E904C3" w:rsidRDefault="00E904C3" w:rsidP="00941905">
      <w:pPr>
        <w:jc w:val="both"/>
      </w:pPr>
    </w:p>
    <w:p w14:paraId="06E59C66" w14:textId="31ADA323" w:rsidR="00E904C3" w:rsidRDefault="00E904C3" w:rsidP="00941905">
      <w:pPr>
        <w:jc w:val="both"/>
      </w:pPr>
    </w:p>
    <w:p w14:paraId="6D584463" w14:textId="6E447F86" w:rsidR="00E904C3" w:rsidRDefault="00E904C3" w:rsidP="00941905">
      <w:pPr>
        <w:jc w:val="both"/>
      </w:pPr>
    </w:p>
    <w:p w14:paraId="54DD37BB" w14:textId="45AFEB1B" w:rsidR="00E904C3" w:rsidRDefault="00E904C3" w:rsidP="00941905">
      <w:pPr>
        <w:jc w:val="both"/>
      </w:pPr>
    </w:p>
    <w:p w14:paraId="08DB536A" w14:textId="611BAC7F" w:rsidR="00E904C3" w:rsidRDefault="00E904C3" w:rsidP="00941905">
      <w:pPr>
        <w:jc w:val="both"/>
      </w:pPr>
    </w:p>
    <w:p w14:paraId="7DB57DAB" w14:textId="36A2FACA" w:rsidR="00E904C3" w:rsidRDefault="00E904C3" w:rsidP="00941905">
      <w:pPr>
        <w:jc w:val="both"/>
      </w:pPr>
    </w:p>
    <w:p w14:paraId="257BDFFE" w14:textId="1C4CC720" w:rsidR="00E904C3" w:rsidRDefault="00E904C3" w:rsidP="00941905">
      <w:pPr>
        <w:jc w:val="both"/>
      </w:pPr>
    </w:p>
    <w:p w14:paraId="487FE4C6" w14:textId="6D786B13" w:rsidR="00E904C3" w:rsidRDefault="00E904C3" w:rsidP="00941905">
      <w:pPr>
        <w:jc w:val="both"/>
      </w:pPr>
    </w:p>
    <w:p w14:paraId="3FB0AE5D" w14:textId="781E065D" w:rsidR="00E904C3" w:rsidRDefault="00E904C3" w:rsidP="00941905">
      <w:pPr>
        <w:jc w:val="both"/>
      </w:pPr>
    </w:p>
    <w:p w14:paraId="32E72329" w14:textId="683C9BA8" w:rsidR="00E904C3" w:rsidRDefault="00E904C3" w:rsidP="00941905">
      <w:pPr>
        <w:jc w:val="both"/>
      </w:pPr>
    </w:p>
    <w:p w14:paraId="782C6BF9" w14:textId="5B371788" w:rsidR="00E904C3" w:rsidRDefault="00E904C3" w:rsidP="00941905">
      <w:pPr>
        <w:jc w:val="both"/>
      </w:pPr>
    </w:p>
    <w:p w14:paraId="6B8EA1C8" w14:textId="59E16CA4" w:rsidR="00E904C3" w:rsidRDefault="00E904C3" w:rsidP="00941905">
      <w:pPr>
        <w:jc w:val="both"/>
      </w:pPr>
    </w:p>
    <w:p w14:paraId="3811BA80" w14:textId="1B2CA20F" w:rsidR="00E904C3" w:rsidRDefault="00E904C3" w:rsidP="00941905">
      <w:pPr>
        <w:jc w:val="both"/>
      </w:pPr>
    </w:p>
    <w:p w14:paraId="1A51DFF6" w14:textId="5D21B3E6" w:rsidR="00E904C3" w:rsidRPr="00E904C3" w:rsidRDefault="00E904C3" w:rsidP="00E904C3">
      <w:pPr>
        <w:jc w:val="center"/>
        <w:rPr>
          <w:b/>
          <w:bCs/>
          <w:i/>
          <w:iCs/>
        </w:rPr>
      </w:pPr>
      <w:r w:rsidRPr="00E904C3">
        <w:rPr>
          <w:b/>
          <w:bCs/>
          <w:i/>
          <w:iCs/>
        </w:rPr>
        <w:t>STATUTS MIS A JOUR</w:t>
      </w:r>
    </w:p>
    <w:p w14:paraId="7E4275BE" w14:textId="77777777" w:rsidR="00123987" w:rsidRDefault="00123987" w:rsidP="00941905">
      <w:pPr>
        <w:jc w:val="both"/>
      </w:pPr>
    </w:p>
    <w:p w14:paraId="56ABF009" w14:textId="77777777" w:rsidR="00123987" w:rsidRDefault="00123987" w:rsidP="00941905">
      <w:pPr>
        <w:jc w:val="both"/>
      </w:pPr>
    </w:p>
    <w:p w14:paraId="464CCD16" w14:textId="35E242CE" w:rsidR="00123987" w:rsidRDefault="00123987" w:rsidP="00EB776D">
      <w:pPr>
        <w:jc w:val="both"/>
      </w:pPr>
    </w:p>
    <w:sectPr w:rsidR="00123987" w:rsidSect="000C0A4C">
      <w:footerReference w:type="default" r:id="rId8"/>
      <w:pgSz w:w="11906" w:h="16838" w:code="9"/>
      <w:pgMar w:top="1417" w:right="1417" w:bottom="1417" w:left="141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1BC3" w14:textId="77777777" w:rsidR="001F4D8C" w:rsidRDefault="001F4D8C">
      <w:r>
        <w:separator/>
      </w:r>
    </w:p>
  </w:endnote>
  <w:endnote w:type="continuationSeparator" w:id="0">
    <w:p w14:paraId="4CE56183" w14:textId="77777777" w:rsidR="001F4D8C" w:rsidRDefault="001F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End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5138" w14:textId="77777777" w:rsidR="001F4D8C" w:rsidRDefault="001F4D8C">
      <w:r>
        <w:separator/>
      </w:r>
    </w:p>
  </w:footnote>
  <w:footnote w:type="continuationSeparator" w:id="0">
    <w:p w14:paraId="06790730" w14:textId="77777777" w:rsidR="001F4D8C" w:rsidRDefault="001F4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1354C"/>
    <w:rsid w:val="00027D95"/>
    <w:rsid w:val="00054090"/>
    <w:rsid w:val="00064043"/>
    <w:rsid w:val="00064C4C"/>
    <w:rsid w:val="0006644D"/>
    <w:rsid w:val="00077654"/>
    <w:rsid w:val="00082510"/>
    <w:rsid w:val="0008672E"/>
    <w:rsid w:val="00094FD8"/>
    <w:rsid w:val="000C0A4C"/>
    <w:rsid w:val="000E2756"/>
    <w:rsid w:val="000E60C4"/>
    <w:rsid w:val="000F12B8"/>
    <w:rsid w:val="000F3B9D"/>
    <w:rsid w:val="00123987"/>
    <w:rsid w:val="001750BA"/>
    <w:rsid w:val="001C0990"/>
    <w:rsid w:val="001C5AFA"/>
    <w:rsid w:val="001D69B5"/>
    <w:rsid w:val="001F3A35"/>
    <w:rsid w:val="001F4D8C"/>
    <w:rsid w:val="00223495"/>
    <w:rsid w:val="00233B46"/>
    <w:rsid w:val="002732F3"/>
    <w:rsid w:val="00286F82"/>
    <w:rsid w:val="002B554A"/>
    <w:rsid w:val="002F16BB"/>
    <w:rsid w:val="00315DAA"/>
    <w:rsid w:val="00317C72"/>
    <w:rsid w:val="00326FFC"/>
    <w:rsid w:val="00334541"/>
    <w:rsid w:val="003535AF"/>
    <w:rsid w:val="00362BF6"/>
    <w:rsid w:val="00372A2B"/>
    <w:rsid w:val="00385763"/>
    <w:rsid w:val="00386F7C"/>
    <w:rsid w:val="00390B33"/>
    <w:rsid w:val="003D3994"/>
    <w:rsid w:val="003D7422"/>
    <w:rsid w:val="003F4FFA"/>
    <w:rsid w:val="00462BBF"/>
    <w:rsid w:val="00470420"/>
    <w:rsid w:val="0048528D"/>
    <w:rsid w:val="004A0DF2"/>
    <w:rsid w:val="00500A91"/>
    <w:rsid w:val="00511BE7"/>
    <w:rsid w:val="005175B3"/>
    <w:rsid w:val="00523CA2"/>
    <w:rsid w:val="005343F4"/>
    <w:rsid w:val="005415CF"/>
    <w:rsid w:val="0054190A"/>
    <w:rsid w:val="00565655"/>
    <w:rsid w:val="00565854"/>
    <w:rsid w:val="00565DB5"/>
    <w:rsid w:val="00567B76"/>
    <w:rsid w:val="0057137F"/>
    <w:rsid w:val="00585398"/>
    <w:rsid w:val="005A62EA"/>
    <w:rsid w:val="005D0031"/>
    <w:rsid w:val="005F3E26"/>
    <w:rsid w:val="00600E58"/>
    <w:rsid w:val="0060232A"/>
    <w:rsid w:val="006144CD"/>
    <w:rsid w:val="00620107"/>
    <w:rsid w:val="00622204"/>
    <w:rsid w:val="00623F51"/>
    <w:rsid w:val="00626EF3"/>
    <w:rsid w:val="00631229"/>
    <w:rsid w:val="00644A31"/>
    <w:rsid w:val="00645439"/>
    <w:rsid w:val="00655209"/>
    <w:rsid w:val="00656DB7"/>
    <w:rsid w:val="00675635"/>
    <w:rsid w:val="00676C03"/>
    <w:rsid w:val="0069691E"/>
    <w:rsid w:val="006A424D"/>
    <w:rsid w:val="006B1258"/>
    <w:rsid w:val="006B1C3B"/>
    <w:rsid w:val="006B5725"/>
    <w:rsid w:val="006B7303"/>
    <w:rsid w:val="006C35FE"/>
    <w:rsid w:val="006E066C"/>
    <w:rsid w:val="006E4E50"/>
    <w:rsid w:val="006E611F"/>
    <w:rsid w:val="006F6818"/>
    <w:rsid w:val="00703D9E"/>
    <w:rsid w:val="00741FC1"/>
    <w:rsid w:val="00750BD4"/>
    <w:rsid w:val="00751802"/>
    <w:rsid w:val="0076380F"/>
    <w:rsid w:val="0077326B"/>
    <w:rsid w:val="007844DA"/>
    <w:rsid w:val="0079402A"/>
    <w:rsid w:val="007A524D"/>
    <w:rsid w:val="007A7923"/>
    <w:rsid w:val="007B0D9A"/>
    <w:rsid w:val="007D2C40"/>
    <w:rsid w:val="007D3BD8"/>
    <w:rsid w:val="00815A78"/>
    <w:rsid w:val="00851EC6"/>
    <w:rsid w:val="00853DD7"/>
    <w:rsid w:val="008A4D72"/>
    <w:rsid w:val="008B66F7"/>
    <w:rsid w:val="008C0E66"/>
    <w:rsid w:val="008C3DFC"/>
    <w:rsid w:val="008D1857"/>
    <w:rsid w:val="008D1C12"/>
    <w:rsid w:val="008D39D6"/>
    <w:rsid w:val="009117A8"/>
    <w:rsid w:val="00927803"/>
    <w:rsid w:val="00931362"/>
    <w:rsid w:val="0093747C"/>
    <w:rsid w:val="00941905"/>
    <w:rsid w:val="0094480B"/>
    <w:rsid w:val="009474AE"/>
    <w:rsid w:val="00962215"/>
    <w:rsid w:val="00962594"/>
    <w:rsid w:val="0096310F"/>
    <w:rsid w:val="00964D7C"/>
    <w:rsid w:val="009B0008"/>
    <w:rsid w:val="009E205B"/>
    <w:rsid w:val="009E2F55"/>
    <w:rsid w:val="009F10C4"/>
    <w:rsid w:val="00A25720"/>
    <w:rsid w:val="00A3241F"/>
    <w:rsid w:val="00A471E2"/>
    <w:rsid w:val="00A530FF"/>
    <w:rsid w:val="00A674B0"/>
    <w:rsid w:val="00A76A00"/>
    <w:rsid w:val="00A85F2F"/>
    <w:rsid w:val="00A86DF7"/>
    <w:rsid w:val="00A97F5E"/>
    <w:rsid w:val="00AA3FAD"/>
    <w:rsid w:val="00AB1BD8"/>
    <w:rsid w:val="00AB40FB"/>
    <w:rsid w:val="00AC594D"/>
    <w:rsid w:val="00AD262D"/>
    <w:rsid w:val="00AE391F"/>
    <w:rsid w:val="00B061C0"/>
    <w:rsid w:val="00B122E7"/>
    <w:rsid w:val="00B1377E"/>
    <w:rsid w:val="00B252C3"/>
    <w:rsid w:val="00B27A80"/>
    <w:rsid w:val="00B55D7D"/>
    <w:rsid w:val="00B63903"/>
    <w:rsid w:val="00B74B22"/>
    <w:rsid w:val="00B84F47"/>
    <w:rsid w:val="00BA07DE"/>
    <w:rsid w:val="00BB133E"/>
    <w:rsid w:val="00BB22D8"/>
    <w:rsid w:val="00BB4F0E"/>
    <w:rsid w:val="00BC5300"/>
    <w:rsid w:val="00BE7D76"/>
    <w:rsid w:val="00C3602B"/>
    <w:rsid w:val="00C42670"/>
    <w:rsid w:val="00C510B6"/>
    <w:rsid w:val="00C61552"/>
    <w:rsid w:val="00C72C50"/>
    <w:rsid w:val="00C820DF"/>
    <w:rsid w:val="00C853B2"/>
    <w:rsid w:val="00C912B0"/>
    <w:rsid w:val="00C958E4"/>
    <w:rsid w:val="00CA49A2"/>
    <w:rsid w:val="00CA70A8"/>
    <w:rsid w:val="00CC3428"/>
    <w:rsid w:val="00CD4AD2"/>
    <w:rsid w:val="00D06BED"/>
    <w:rsid w:val="00D10B3A"/>
    <w:rsid w:val="00D31F32"/>
    <w:rsid w:val="00D427F1"/>
    <w:rsid w:val="00D56D4F"/>
    <w:rsid w:val="00D62339"/>
    <w:rsid w:val="00D65B67"/>
    <w:rsid w:val="00D75057"/>
    <w:rsid w:val="00D9783C"/>
    <w:rsid w:val="00DA3B5A"/>
    <w:rsid w:val="00DB03D4"/>
    <w:rsid w:val="00DC249C"/>
    <w:rsid w:val="00DF2631"/>
    <w:rsid w:val="00DF6E97"/>
    <w:rsid w:val="00E055A1"/>
    <w:rsid w:val="00E074EF"/>
    <w:rsid w:val="00E145CA"/>
    <w:rsid w:val="00E252D3"/>
    <w:rsid w:val="00E37B9B"/>
    <w:rsid w:val="00E439E0"/>
    <w:rsid w:val="00E539C1"/>
    <w:rsid w:val="00E904C3"/>
    <w:rsid w:val="00EA016F"/>
    <w:rsid w:val="00EB5F88"/>
    <w:rsid w:val="00EB776D"/>
    <w:rsid w:val="00ED0CDF"/>
    <w:rsid w:val="00EE06CF"/>
    <w:rsid w:val="00EF1C6F"/>
    <w:rsid w:val="00F01EAF"/>
    <w:rsid w:val="00F1048C"/>
    <w:rsid w:val="00F16E52"/>
    <w:rsid w:val="00F26EEF"/>
    <w:rsid w:val="00F4573A"/>
    <w:rsid w:val="00F460FF"/>
    <w:rsid w:val="00F50D0F"/>
    <w:rsid w:val="00F558C2"/>
    <w:rsid w:val="00F748A6"/>
    <w:rsid w:val="00F8360A"/>
    <w:rsid w:val="00F8480D"/>
    <w:rsid w:val="00FC4E69"/>
    <w:rsid w:val="00FD3A8C"/>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Lienhypertexte">
    <w:name w:val="Hyperlink"/>
    <w:basedOn w:val="Policepardfaut"/>
    <w:uiPriority w:val="99"/>
    <w:unhideWhenUsed/>
    <w:rsid w:val="006B7303"/>
    <w:rPr>
      <w:color w:val="0563C1" w:themeColor="hyperlink"/>
      <w:u w:val="single"/>
    </w:rPr>
  </w:style>
  <w:style w:type="character" w:styleId="Mentionnonrsolue">
    <w:name w:val="Unresolved Mention"/>
    <w:basedOn w:val="Policepardfaut"/>
    <w:uiPriority w:val="99"/>
    <w:semiHidden/>
    <w:unhideWhenUsed/>
    <w:rsid w:val="006B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Template>
  <TotalTime>17</TotalTime>
  <Pages>10</Pages>
  <Words>4253</Words>
  <Characters>23052</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Cartesia Avocats</cp:lastModifiedBy>
  <cp:revision>5</cp:revision>
  <cp:lastPrinted>2022-03-24T14:51:00Z</cp:lastPrinted>
  <dcterms:created xsi:type="dcterms:W3CDTF">2022-03-25T08:41:00Z</dcterms:created>
  <dcterms:modified xsi:type="dcterms:W3CDTF">2022-03-25T15:24:00Z</dcterms:modified>
</cp:coreProperties>
</file>