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4EC" w:rsidRDefault="00000000">
      <w:pPr>
        <w:spacing w:after="0" w:line="259" w:lineRule="auto"/>
        <w:ind w:left="0" w:right="0" w:firstLine="0"/>
        <w:jc w:val="left"/>
      </w:pPr>
      <w:r>
        <w:rPr>
          <w:i w:val="0"/>
          <w:sz w:val="20"/>
        </w:rPr>
        <w:t xml:space="preserve"> </w:t>
      </w:r>
    </w:p>
    <w:p w:rsidR="000F64EC" w:rsidRDefault="00000000">
      <w:pPr>
        <w:spacing w:after="0" w:line="259" w:lineRule="auto"/>
        <w:ind w:left="10" w:right="9"/>
        <w:jc w:val="center"/>
      </w:pPr>
      <w:r>
        <w:rPr>
          <w:b/>
          <w:i w:val="0"/>
          <w:sz w:val="20"/>
        </w:rPr>
        <w:t xml:space="preserve">SOCIÉTÉ CIVILE IMMOBILIÈRE MICHEL THOMAS </w:t>
      </w:r>
    </w:p>
    <w:p w:rsidR="000F64EC" w:rsidRDefault="00000000">
      <w:pPr>
        <w:spacing w:after="0" w:line="259" w:lineRule="auto"/>
        <w:ind w:left="38" w:right="0" w:firstLine="0"/>
        <w:jc w:val="center"/>
      </w:pPr>
      <w:r>
        <w:rPr>
          <w:b/>
          <w:i w:val="0"/>
          <w:sz w:val="20"/>
        </w:rPr>
        <w:t xml:space="preserve"> </w:t>
      </w:r>
    </w:p>
    <w:p w:rsidR="000F64EC" w:rsidRDefault="00000000">
      <w:pPr>
        <w:spacing w:after="0" w:line="259" w:lineRule="auto"/>
        <w:ind w:left="10" w:right="3"/>
        <w:jc w:val="center"/>
      </w:pPr>
      <w:r>
        <w:rPr>
          <w:b/>
          <w:i w:val="0"/>
          <w:sz w:val="20"/>
        </w:rPr>
        <w:t xml:space="preserve">Société civile immobilière au capital de 7 622,45 euros </w:t>
      </w:r>
    </w:p>
    <w:p w:rsidR="000F64EC" w:rsidRDefault="00000000">
      <w:pPr>
        <w:spacing w:after="0" w:line="259" w:lineRule="auto"/>
        <w:ind w:left="10" w:right="56"/>
        <w:jc w:val="center"/>
      </w:pPr>
      <w:r>
        <w:rPr>
          <w:b/>
          <w:i w:val="0"/>
          <w:sz w:val="20"/>
        </w:rPr>
        <w:t xml:space="preserve">Siège social : 9 Impasse Les Haut de Sérignan, 34410 SÉRIGNAN  </w:t>
      </w:r>
    </w:p>
    <w:p w:rsidR="000F64EC" w:rsidRDefault="00000000">
      <w:pPr>
        <w:spacing w:after="0" w:line="259" w:lineRule="auto"/>
        <w:ind w:left="10" w:right="9"/>
        <w:jc w:val="center"/>
      </w:pPr>
      <w:r>
        <w:rPr>
          <w:b/>
          <w:i w:val="0"/>
          <w:sz w:val="20"/>
        </w:rPr>
        <w:t xml:space="preserve">378 798 995 RCS BÉZIERS </w:t>
      </w:r>
    </w:p>
    <w:p w:rsidR="000F64EC" w:rsidRDefault="00000000">
      <w:pPr>
        <w:spacing w:after="0" w:line="259" w:lineRule="auto"/>
        <w:ind w:left="0" w:right="0" w:firstLine="0"/>
        <w:jc w:val="left"/>
      </w:pPr>
      <w:r>
        <w:rPr>
          <w:i w:val="0"/>
          <w:sz w:val="20"/>
        </w:rPr>
        <w:t xml:space="preserve"> </w:t>
      </w:r>
    </w:p>
    <w:p w:rsidR="000F64EC" w:rsidRDefault="00000000">
      <w:pPr>
        <w:spacing w:after="0" w:line="259" w:lineRule="auto"/>
        <w:ind w:left="0" w:right="8" w:firstLine="0"/>
        <w:jc w:val="center"/>
      </w:pPr>
      <w:r>
        <w:rPr>
          <w:sz w:val="20"/>
        </w:rPr>
        <w:t xml:space="preserve">Ci-après la « </w:t>
      </w:r>
      <w:r>
        <w:rPr>
          <w:b/>
          <w:sz w:val="20"/>
        </w:rPr>
        <w:t>Société</w:t>
      </w:r>
      <w:r>
        <w:rPr>
          <w:sz w:val="20"/>
        </w:rPr>
        <w:t xml:space="preserve"> » </w:t>
      </w:r>
    </w:p>
    <w:p w:rsidR="000F64EC" w:rsidRDefault="00000000">
      <w:pPr>
        <w:spacing w:after="0" w:line="259" w:lineRule="auto"/>
        <w:ind w:left="0" w:right="0" w:firstLine="0"/>
        <w:jc w:val="left"/>
      </w:pPr>
      <w:r>
        <w:rPr>
          <w:i w:val="0"/>
          <w:sz w:val="20"/>
        </w:rPr>
        <w:t xml:space="preserve"> </w:t>
      </w:r>
    </w:p>
    <w:p w:rsidR="000F64EC" w:rsidRDefault="00000000">
      <w:pPr>
        <w:spacing w:after="12" w:line="259" w:lineRule="auto"/>
        <w:ind w:left="0" w:right="0" w:firstLine="0"/>
        <w:jc w:val="left"/>
      </w:pPr>
      <w:r>
        <w:rPr>
          <w:i w:val="0"/>
          <w:sz w:val="20"/>
        </w:rPr>
        <w:t xml:space="preserve"> </w:t>
      </w:r>
    </w:p>
    <w:p w:rsidR="000F64EC" w:rsidRDefault="00000000">
      <w:pPr>
        <w:pBdr>
          <w:top w:val="single" w:sz="4" w:space="0" w:color="000000"/>
          <w:left w:val="single" w:sz="4" w:space="0" w:color="000000"/>
          <w:bottom w:val="single" w:sz="4" w:space="0" w:color="000000"/>
          <w:right w:val="single" w:sz="4" w:space="0" w:color="000000"/>
        </w:pBdr>
        <w:spacing w:after="7" w:line="250" w:lineRule="auto"/>
        <w:ind w:left="1498" w:right="1472"/>
        <w:jc w:val="center"/>
      </w:pPr>
      <w:r>
        <w:rPr>
          <w:b/>
          <w:i w:val="0"/>
          <w:sz w:val="20"/>
        </w:rPr>
        <w:t xml:space="preserve">TEXTE DES RÉSOLUTIONS PROPOSÉES À </w:t>
      </w:r>
    </w:p>
    <w:p w:rsidR="000F64EC" w:rsidRDefault="00000000">
      <w:pPr>
        <w:pBdr>
          <w:top w:val="single" w:sz="4" w:space="0" w:color="000000"/>
          <w:left w:val="single" w:sz="4" w:space="0" w:color="000000"/>
          <w:bottom w:val="single" w:sz="4" w:space="0" w:color="000000"/>
          <w:right w:val="single" w:sz="4" w:space="0" w:color="000000"/>
        </w:pBdr>
        <w:spacing w:after="7" w:line="250" w:lineRule="auto"/>
        <w:ind w:left="1498" w:right="1472"/>
        <w:jc w:val="center"/>
      </w:pPr>
      <w:r>
        <w:rPr>
          <w:b/>
          <w:i w:val="0"/>
          <w:sz w:val="20"/>
        </w:rPr>
        <w:t xml:space="preserve">L'ASSEMBLÉE GÉNÉRALE EN DATE DU </w:t>
      </w:r>
      <w:r w:rsidR="008C6274">
        <w:rPr>
          <w:b/>
          <w:i w:val="0"/>
          <w:sz w:val="20"/>
        </w:rPr>
        <w:t>26 mai 2023</w:t>
      </w:r>
      <w:r>
        <w:rPr>
          <w:b/>
          <w:i w:val="0"/>
          <w:sz w:val="20"/>
        </w:rPr>
        <w:t xml:space="preserve"> </w:t>
      </w:r>
    </w:p>
    <w:p w:rsidR="000F64EC" w:rsidRDefault="00000000">
      <w:pPr>
        <w:spacing w:after="0" w:line="259" w:lineRule="auto"/>
        <w:ind w:left="0" w:right="0" w:firstLine="0"/>
        <w:jc w:val="left"/>
      </w:pPr>
      <w:r>
        <w:rPr>
          <w:i w:val="0"/>
          <w:sz w:val="20"/>
        </w:rPr>
        <w:t xml:space="preserve"> </w:t>
      </w:r>
    </w:p>
    <w:p w:rsidR="000F64EC" w:rsidRDefault="00000000">
      <w:pPr>
        <w:spacing w:after="0" w:line="259" w:lineRule="auto"/>
        <w:ind w:left="0" w:right="0" w:firstLine="0"/>
        <w:jc w:val="left"/>
      </w:pPr>
      <w:r>
        <w:rPr>
          <w:i w:val="0"/>
          <w:sz w:val="20"/>
        </w:rPr>
        <w:t xml:space="preserve"> </w:t>
      </w:r>
    </w:p>
    <w:p w:rsidR="000F64EC" w:rsidRDefault="00000000">
      <w:pPr>
        <w:pStyle w:val="Titre1"/>
        <w:ind w:left="-5" w:right="0"/>
      </w:pPr>
      <w:r>
        <w:t xml:space="preserve">PREMIÈRE RÉSOLUTION </w:t>
      </w:r>
    </w:p>
    <w:p w:rsidR="000F64EC" w:rsidRDefault="00000000">
      <w:pPr>
        <w:spacing w:after="1" w:line="259" w:lineRule="auto"/>
        <w:ind w:left="-29" w:right="-23" w:firstLine="0"/>
        <w:jc w:val="left"/>
      </w:pPr>
      <w:r>
        <w:rPr>
          <w:rFonts w:ascii="Calibri" w:eastAsia="Calibri" w:hAnsi="Calibri" w:cs="Calibri"/>
          <w:i w:val="0"/>
          <w:noProof/>
          <w:sz w:val="22"/>
        </w:rPr>
        <mc:AlternateContent>
          <mc:Choice Requires="wpg">
            <w:drawing>
              <wp:inline distT="0" distB="0" distL="0" distR="0">
                <wp:extent cx="5795772" cy="6096"/>
                <wp:effectExtent l="0" t="0" r="0" b="0"/>
                <wp:docPr id="9585" name="Group 9585"/>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11998" name="Shape 11998"/>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9585" style="width:456.36pt;height:0.47998pt;mso-position-horizontal-relative:char;mso-position-vertical-relative:line" coordsize="57957,60">
                <v:shape id="Shape 11999" style="position:absolute;width:57957;height:91;left:0;top:0;" coordsize="5795772,9144" path="m0,0l5795772,0l5795772,9144l0,9144l0,0">
                  <v:stroke weight="0pt" endcap="flat" joinstyle="miter" miterlimit="10" on="false" color="#000000" opacity="0"/>
                  <v:fill on="true" color="#000000"/>
                </v:shape>
              </v:group>
            </w:pict>
          </mc:Fallback>
        </mc:AlternateContent>
      </w:r>
    </w:p>
    <w:p w:rsidR="000F64EC" w:rsidRDefault="00000000">
      <w:pPr>
        <w:spacing w:after="0" w:line="259" w:lineRule="auto"/>
        <w:ind w:left="0" w:right="0" w:firstLine="0"/>
        <w:jc w:val="left"/>
      </w:pPr>
      <w:r>
        <w:rPr>
          <w:i w:val="0"/>
          <w:sz w:val="20"/>
        </w:rPr>
        <w:t xml:space="preserve"> </w:t>
      </w:r>
    </w:p>
    <w:p w:rsidR="000F64EC" w:rsidRDefault="00000000">
      <w:pPr>
        <w:spacing w:after="1" w:line="241" w:lineRule="auto"/>
        <w:ind w:left="-5" w:right="-12"/>
      </w:pPr>
      <w:r>
        <w:rPr>
          <w:i w:val="0"/>
          <w:sz w:val="20"/>
        </w:rPr>
        <w:t xml:space="preserve">L'Assemblée Générale, après avoir entendu la lecture du rapport du Gérant, décide de modifier les statuts de la Société au moyen d’une refonte globale, pour une mise en conformité avec les nouvelles dispositions législatives et règlementaires, de la manière suivante :  </w:t>
      </w:r>
    </w:p>
    <w:p w:rsidR="000F64EC" w:rsidRDefault="00000000">
      <w:pPr>
        <w:spacing w:after="0" w:line="259" w:lineRule="auto"/>
        <w:ind w:left="0" w:right="0" w:firstLine="0"/>
        <w:jc w:val="left"/>
      </w:pPr>
      <w:r>
        <w:rPr>
          <w:i w:val="0"/>
          <w:sz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rPr>
        <w:t xml:space="preserve">« </w:t>
      </w:r>
      <w:r w:rsidRPr="008C6274">
        <w:rPr>
          <w:sz w:val="20"/>
          <w:szCs w:val="20"/>
          <w:u w:val="single" w:color="000000"/>
        </w:rPr>
        <w:t>ARTICLE PREMIER : FORME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DEUXIÈME : OBJET</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TROISIÈME : DÉNOMINATION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prend la dénomination de : « </w:t>
      </w:r>
      <w:r w:rsidRPr="008C6274">
        <w:rPr>
          <w:b/>
          <w:sz w:val="20"/>
          <w:szCs w:val="20"/>
        </w:rPr>
        <w:t>SOCIÉTÉ CIVILE IMMOBILIÈRE MICHEL THOMAS</w:t>
      </w:r>
      <w:r w:rsidRPr="008C6274">
        <w:rPr>
          <w:sz w:val="20"/>
          <w:szCs w:val="20"/>
        </w:rPr>
        <w:t xml:space="preserve"> ».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QUATRIÈME : SIÈGE SOCIAL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rPr>
        <w:t xml:space="preserve">Le siège social est fixé au : </w:t>
      </w:r>
      <w:r w:rsidRPr="008C6274">
        <w:rPr>
          <w:b/>
          <w:sz w:val="20"/>
          <w:szCs w:val="20"/>
        </w:rPr>
        <w:t>9 Impasse Les Haut de Sérignan, 34410 SÉRIGNAN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Il pourra être transféré en tout endroit dans le même département par simple décision de la Gérance et partout ailleurs en France par décision de l'Assemblée Générale ou des Associés statuant conformément à l'article Dix-Huit.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CINQUIÈME : DURÉE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durée de la société est fixée à soixante années à compter de son immatriculation, soit à compter du 25 juillet 1990. Elle peut être prorogée ou dissoute par anticipation, par décision de l'Assemblée Générale des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SIXIÈME : CAPITAL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capital de la société est fixé à la somme de 7622,45 euros, divisé en 1 500 parts sociales de 5,081633 euros chacune qui ont été attribuées comme suit :  </w:t>
      </w:r>
    </w:p>
    <w:p w:rsidR="000F64EC" w:rsidRPr="008C6274" w:rsidRDefault="00000000" w:rsidP="006F2187">
      <w:pPr>
        <w:spacing w:after="585"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center"/>
        <w:rPr>
          <w:sz w:val="20"/>
          <w:szCs w:val="20"/>
        </w:rPr>
      </w:pPr>
      <w:r w:rsidRPr="008C6274">
        <w:rPr>
          <w:i w:val="0"/>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bl>
      <w:tblPr>
        <w:tblStyle w:val="TableGrid"/>
        <w:tblW w:w="9356" w:type="dxa"/>
        <w:tblInd w:w="-5" w:type="dxa"/>
        <w:tblCellMar>
          <w:top w:w="3" w:type="dxa"/>
          <w:left w:w="106" w:type="dxa"/>
          <w:right w:w="115" w:type="dxa"/>
        </w:tblCellMar>
        <w:tblLook w:val="04A0" w:firstRow="1" w:lastRow="0" w:firstColumn="1" w:lastColumn="0" w:noHBand="0" w:noVBand="1"/>
      </w:tblPr>
      <w:tblGrid>
        <w:gridCol w:w="2977"/>
        <w:gridCol w:w="1985"/>
        <w:gridCol w:w="2126"/>
        <w:gridCol w:w="2268"/>
      </w:tblGrid>
      <w:tr w:rsidR="000F64EC" w:rsidRPr="008C6274" w:rsidTr="006F2187">
        <w:trPr>
          <w:trHeight w:val="194"/>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Titulaire </w:t>
            </w:r>
          </w:p>
        </w:tc>
        <w:tc>
          <w:tcPr>
            <w:tcW w:w="1985"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Usufruit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Nue-propriété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b/>
                <w:sz w:val="20"/>
                <w:szCs w:val="20"/>
              </w:rPr>
              <w:t xml:space="preserve">Pleine propriété </w:t>
            </w:r>
          </w:p>
        </w:tc>
      </w:tr>
      <w:tr w:rsidR="000F64EC" w:rsidRPr="008C6274" w:rsidTr="006F2187">
        <w:trPr>
          <w:trHeight w:val="562"/>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Monsieur Didier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124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1 à 124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sz w:val="20"/>
                <w:szCs w:val="20"/>
              </w:rPr>
              <w:t xml:space="preserve">376 parts </w:t>
            </w:r>
          </w:p>
          <w:p w:rsidR="000F64EC" w:rsidRPr="006F2187" w:rsidRDefault="00000000" w:rsidP="006F2187">
            <w:pPr>
              <w:spacing w:after="0" w:line="259" w:lineRule="auto"/>
              <w:ind w:left="0" w:right="-298" w:firstLine="0"/>
              <w:jc w:val="left"/>
              <w:rPr>
                <w:szCs w:val="16"/>
              </w:rPr>
            </w:pPr>
            <w:r w:rsidRPr="006F2187">
              <w:rPr>
                <w:szCs w:val="16"/>
              </w:rPr>
              <w:t xml:space="preserve">Numérotées de 373 à 749 </w:t>
            </w:r>
          </w:p>
        </w:tc>
      </w:tr>
      <w:tr w:rsidR="000F64EC" w:rsidRPr="008C6274" w:rsidTr="006F2187">
        <w:trPr>
          <w:trHeight w:val="559"/>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Monsieur Thibault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124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125 à 248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sz w:val="20"/>
                <w:szCs w:val="20"/>
              </w:rPr>
              <w:t>376 parts</w:t>
            </w:r>
          </w:p>
          <w:p w:rsidR="000F64EC" w:rsidRPr="006F2187" w:rsidRDefault="00000000" w:rsidP="006F2187">
            <w:pPr>
              <w:spacing w:after="0" w:line="259" w:lineRule="auto"/>
              <w:ind w:left="0" w:right="-298" w:firstLine="0"/>
              <w:jc w:val="left"/>
              <w:rPr>
                <w:szCs w:val="16"/>
              </w:rPr>
            </w:pPr>
            <w:r w:rsidRPr="006F2187">
              <w:rPr>
                <w:szCs w:val="16"/>
              </w:rPr>
              <w:t>Numérotées de 750 à 1 125</w:t>
            </w:r>
          </w:p>
        </w:tc>
      </w:tr>
      <w:tr w:rsidR="000F64EC" w:rsidRPr="008C6274" w:rsidTr="006F2187">
        <w:trPr>
          <w:trHeight w:val="562"/>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Monsieur Eric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124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249 à 372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sz w:val="20"/>
                <w:szCs w:val="20"/>
              </w:rPr>
              <w:t xml:space="preserve">376 parts </w:t>
            </w:r>
          </w:p>
          <w:p w:rsidR="000F64EC" w:rsidRPr="006F2187" w:rsidRDefault="00000000" w:rsidP="006F2187">
            <w:pPr>
              <w:spacing w:after="0" w:line="259" w:lineRule="auto"/>
              <w:ind w:left="0" w:right="-298" w:firstLine="0"/>
              <w:jc w:val="left"/>
              <w:rPr>
                <w:szCs w:val="16"/>
              </w:rPr>
            </w:pPr>
            <w:r w:rsidRPr="006F2187">
              <w:rPr>
                <w:szCs w:val="16"/>
              </w:rPr>
              <w:t xml:space="preserve">Numérotées de 1 126 à 1 500 </w:t>
            </w:r>
          </w:p>
        </w:tc>
      </w:tr>
      <w:tr w:rsidR="000F64EC" w:rsidRPr="008C6274" w:rsidTr="006F2187">
        <w:trPr>
          <w:trHeight w:val="744"/>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Madame Anne Marie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BLONDEL épouse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372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1 à 372 </w:t>
            </w:r>
          </w:p>
        </w:tc>
        <w:tc>
          <w:tcPr>
            <w:tcW w:w="2126"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298" w:firstLine="0"/>
              <w:jc w:val="left"/>
              <w:rPr>
                <w:sz w:val="20"/>
                <w:szCs w:val="20"/>
              </w:rPr>
            </w:pPr>
            <w:r w:rsidRPr="008C6274">
              <w:rPr>
                <w:sz w:val="20"/>
                <w:szCs w:val="20"/>
              </w:rPr>
              <w:t xml:space="preserve"> </w:t>
            </w:r>
          </w:p>
        </w:tc>
      </w:tr>
    </w:tbl>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tabs>
          <w:tab w:val="center" w:pos="2087"/>
          <w:tab w:val="center" w:pos="4248"/>
          <w:tab w:val="center" w:pos="4956"/>
          <w:tab w:val="center" w:pos="6504"/>
        </w:tabs>
        <w:spacing w:after="0" w:line="259" w:lineRule="auto"/>
        <w:ind w:left="0" w:right="0" w:firstLine="0"/>
        <w:jc w:val="left"/>
        <w:rPr>
          <w:sz w:val="20"/>
          <w:szCs w:val="20"/>
        </w:rPr>
      </w:pPr>
      <w:r w:rsidRPr="008C6274">
        <w:rPr>
          <w:rFonts w:eastAsia="Calibri"/>
          <w:i w:val="0"/>
          <w:sz w:val="20"/>
          <w:szCs w:val="20"/>
        </w:rPr>
        <w:tab/>
      </w:r>
      <w:r w:rsidRPr="008C6274">
        <w:rPr>
          <w:b/>
          <w:sz w:val="20"/>
          <w:szCs w:val="20"/>
        </w:rPr>
        <w:t xml:space="preserve">Total des parts composant le capital social :   </w:t>
      </w:r>
      <w:r w:rsidRPr="008C6274">
        <w:rPr>
          <w:b/>
          <w:sz w:val="20"/>
          <w:szCs w:val="20"/>
        </w:rPr>
        <w:tab/>
        <w:t xml:space="preserve"> </w:t>
      </w:r>
      <w:r w:rsidRPr="008C6274">
        <w:rPr>
          <w:b/>
          <w:sz w:val="20"/>
          <w:szCs w:val="20"/>
        </w:rPr>
        <w:tab/>
        <w:t xml:space="preserve">           1 500 parts sociales.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r w:rsidRPr="008C6274">
        <w:rPr>
          <w:sz w:val="20"/>
          <w:szCs w:val="20"/>
        </w:rPr>
        <w:tab/>
        <w:t xml:space="preserve"> </w:t>
      </w:r>
      <w:r w:rsidRPr="008C6274">
        <w:rPr>
          <w:sz w:val="20"/>
          <w:szCs w:val="20"/>
        </w:rPr>
        <w:tab/>
        <w:t xml:space="preserve"> </w:t>
      </w:r>
      <w:r w:rsidRPr="008C6274">
        <w:rPr>
          <w:sz w:val="20"/>
          <w:szCs w:val="20"/>
        </w:rPr>
        <w:tab/>
        <w:t xml:space="preserve"> </w:t>
      </w:r>
    </w:p>
    <w:p w:rsidR="000F64EC" w:rsidRPr="008C6274" w:rsidRDefault="00000000" w:rsidP="006F2187">
      <w:pPr>
        <w:ind w:left="0" w:right="0"/>
        <w:rPr>
          <w:sz w:val="20"/>
          <w:szCs w:val="20"/>
        </w:rPr>
      </w:pPr>
      <w:r w:rsidRPr="008C6274">
        <w:rPr>
          <w:sz w:val="20"/>
          <w:szCs w:val="20"/>
        </w:rPr>
        <w:t xml:space="preserve">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SEPTIÈME : COMPTES COURANTS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Gérance pourra recevoir en compte courant des associés toutes les sommes qui seraient nécessaires pour le paiement des prix d'acquisitions conformes à l'objet social et généralement pour tous les besoins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conditions de dépôt et de retrait de ces fonds ainsi que le taux d'intérêt y afférent seront arrêtés entre dépositaire et la Gérance.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HUITIÈME : REPRÉSENTATION DES TITRES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Le titre de chaque associé résultera seulement des présents Statuts, des actes qui pourraient augmenter le Capital Social et des cessions qui seraient ultérieurement consenties.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Une copie ou un extrait de ces actes, certifié par la Gérance pourra être délivré à chacun des associés sur sa demande et à ses frais.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NEUVIÈME : AUGMENTATION OU RÉDUCTION DE CAPITAL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L'augmentation pourra également être souscrite en réservant à un ou plusieurs associés un droit préférentiel de souscription, décidé conformément à l'Article Dix-Huit des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capital pourra aussi, à toute époque, être réduit soit par retraits d'apports, soit par des remboursements égaux sur toutes les parts, ou par achat et annulation de parts, le tout par décision collective des associés, conformément à l'Article Dix-Huit des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DIXIÈME : DROITS ATTACHÉS AUX PARTS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propriété d'une part emporte de plein droit adhésion aux Statuts et aux décisions des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part donne droit, dans la propriété de l'actif social et dans la répartition des bénéfices, à une fraction proportionnelle au nombre de parts existantes.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Elle donne également droit de participer aux décisions collectives des associés, et d'y voter. Lorsque les parts sont grevées d'un droit d'usufruit, seul l'usufruitier a le droit de vote.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Pendant la durée de la Société et jusqu'à l'issue sa liquidation ; les biens mobiliers et immobiliers de la Société seront toujours la propriété de l'être moral et ne pourront être considérés comme étant la propriété indivise des associés individuellement.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part est indivisible à l'égard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propriétaires indivis sont tenus de se faire représenter auprès de la Société par un seul d'entre eux ou par mandataire commun pris parmi les associés. En cas de désaccord, le mandataire sera désigné par Justice à la demande du plus diligent.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droits et obligations attachés à chaque part la suivent dans quelques mains qu'elle passe.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ONZIÈME : RESPONSABILITÉ DES ASSOCIÉS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répondent indéfiniment des dettes sociales à proportion de leur part dans le capital social à la date de l'exigibilité ou au jour de la cessation des paiements.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créanciers ne peuvent poursuivre le paiement des dettes sociales contre un associé qu'après avoir préalablement et vainement poursuivi la personne morale.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DOUXIÈME : DÉCÉS - SCELLÉS - FAILLITE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Conformément à l’article 1844-5 du Code Civil, l'absence, le décès, la minorité, la liquidation judiciaire, faillite ou autre incapacité de l'un ou de plusieurs des associés, gérants ou non, n'entraînera pas la dissolution de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Au cas de décès, la Société continuera de plein droit entre les associés survivants et les héritiers et représentants du prédécédé. Ceux-ci seront tenus de notifier le décès de leur auteur à la Gérance.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TREIZIÈME : CESSION DE PARTS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Toute cession de parts sociales doit être constatée par un acte notarié ou sous seing privé.  </w:t>
      </w:r>
    </w:p>
    <w:p w:rsidR="000F64EC" w:rsidRDefault="00000000" w:rsidP="006F2187">
      <w:pPr>
        <w:spacing w:after="0" w:line="259" w:lineRule="auto"/>
        <w:ind w:left="0" w:right="0" w:firstLine="0"/>
        <w:jc w:val="left"/>
        <w:rPr>
          <w:sz w:val="20"/>
          <w:szCs w:val="20"/>
        </w:rPr>
      </w:pPr>
      <w:r w:rsidRPr="008C6274">
        <w:rPr>
          <w:sz w:val="20"/>
          <w:szCs w:val="20"/>
        </w:rPr>
        <w:t xml:space="preserve"> </w:t>
      </w:r>
    </w:p>
    <w:p w:rsidR="000F64EC" w:rsidRDefault="008C6274" w:rsidP="006F2187">
      <w:pPr>
        <w:spacing w:after="0" w:line="240" w:lineRule="auto"/>
        <w:ind w:left="0" w:right="0" w:firstLine="0"/>
        <w:rPr>
          <w:rFonts w:eastAsia="Times New Roman"/>
          <w:iCs/>
          <w:color w:val="auto"/>
          <w:kern w:val="0"/>
          <w:sz w:val="20"/>
          <w:szCs w:val="20"/>
          <w14:ligatures w14:val="none"/>
        </w:rPr>
      </w:pPr>
      <w:r w:rsidRPr="008C6274">
        <w:rPr>
          <w:rFonts w:eastAsia="Times New Roman"/>
          <w:iCs/>
          <w:color w:val="auto"/>
          <w:kern w:val="0"/>
          <w:sz w:val="20"/>
          <w:szCs w:val="20"/>
          <w14:ligatures w14:val="none"/>
        </w:rPr>
        <w:t>Pour être opposable aux tiers, la cession doit avoir été déposée au greffe, en annexe au registre du commerce et des sociétés.</w:t>
      </w:r>
    </w:p>
    <w:p w:rsidR="008C6274" w:rsidRPr="008C6274" w:rsidRDefault="008C6274" w:rsidP="006F2187">
      <w:pPr>
        <w:spacing w:after="0" w:line="240" w:lineRule="auto"/>
        <w:ind w:left="0" w:right="0" w:firstLine="0"/>
        <w:rPr>
          <w:rFonts w:eastAsia="Times New Roman"/>
          <w:iCs/>
          <w:color w:val="auto"/>
          <w:kern w:val="0"/>
          <w:sz w:val="20"/>
          <w:szCs w:val="20"/>
          <w14:ligatures w14:val="none"/>
        </w:rPr>
      </w:pPr>
    </w:p>
    <w:p w:rsidR="000F64EC" w:rsidRPr="008C6274" w:rsidRDefault="00000000" w:rsidP="006F2187">
      <w:pPr>
        <w:ind w:left="0" w:right="0"/>
        <w:rPr>
          <w:sz w:val="20"/>
          <w:szCs w:val="20"/>
        </w:rPr>
      </w:pPr>
      <w:r w:rsidRPr="008C6274">
        <w:rPr>
          <w:sz w:val="20"/>
          <w:szCs w:val="20"/>
        </w:rPr>
        <w:t xml:space="preserve">Les parts sociales sont librement cessibles entre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le mois de la réception de cette lettre par Société, celle-ci devra convoquer les associés en Assemblée ou les consulter par écrit à l'effet de les voir se prononcer sur l'agrément sollicité.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39" w:lineRule="auto"/>
        <w:ind w:left="0" w:right="0" w:firstLine="0"/>
        <w:jc w:val="left"/>
        <w:rPr>
          <w:sz w:val="20"/>
          <w:szCs w:val="20"/>
        </w:rPr>
      </w:pPr>
      <w:r w:rsidRPr="008C6274">
        <w:rPr>
          <w:sz w:val="20"/>
          <w:szCs w:val="20"/>
        </w:rPr>
        <w:t xml:space="preserve">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frais et honoraires d'expertise sont supportés moitié par le cédant, moitié par l'acquéreur.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prix ainsi fixé est payable comptant le jour de la signature de l'acte constatant le transfert de propriété des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Si aucune offre d'achat n'est faite au cédant dans le délai de deux mois à compter de la dernière des notifications faite</w:t>
      </w:r>
      <w:r w:rsidR="00435510">
        <w:rPr>
          <w:sz w:val="20"/>
          <w:szCs w:val="20"/>
        </w:rPr>
        <w:t>s</w:t>
      </w:r>
      <w:r w:rsidRPr="008C6274">
        <w:rPr>
          <w:sz w:val="20"/>
          <w:szCs w:val="20"/>
        </w:rPr>
        <w:t xml:space="preserve"> par lui à la Société et à ses coassociés en vue de l'agrément du cessionnaire, </w:t>
      </w:r>
      <w:r w:rsidRPr="008C6274">
        <w:rPr>
          <w:sz w:val="20"/>
          <w:szCs w:val="20"/>
        </w:rPr>
        <w:lastRenderedPageBreak/>
        <w:t xml:space="preserve">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Lorsque l'agrément est donné ou est réputé acquis, la cession projetée doit être régularisée dans le délai d'un mois. Passé ce délai, le cédant est réputé avoir renoncé à la cession.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dispositions ci-dessus s'appliquent à toutes les mutations entre vifs intervenant de gré à gré, à titre onéreux ou gratuit, aux apports en société et attributions effectuées par une société à l'un de ses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Hormis celles sus-indiquées en ligne directe et à l'égard du conjoint, toutes les autres transmissions par décès ne pourront avoir lieu qu'après agrément des associés selon les règles définies ci-dessus.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 défaut d'agrément, les intéressés sont seulement créanciers de la Société et n'ont droit qu'à la valeur des droits sociaux de leur auteur ou à leur part dans ces droits déterminée dans les conditions fixées par l’Article 1843-4 du Code Civil.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QUATORZIÈME : NANTISSEMENT</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parts sociales peuvent faire l'objet d’un nantissement constaté soit par un acte authentique, soit par un acte sous seing privé signifié à la Société ou accepté par elle dans un acte authentique et donnant lieu à publicité.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Toutefois, l'associé titulaire de ces parts doit obtenir au préalable des autres associés leur consentement au projet de nantissement dans les mêmes conditions que leur agrément à une cession de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consentement donné au projet de nantissement emporte agrément du cessionnaire en cas de réalisation-des parts sociales, à la condition que cette réalisation soit notifiée un mois avant la vente aux associés et à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réalisation forcée qui ne procède pas d’un nantissement auquel les autres associés ont donné leur consentement, doit parallèlement être notifiée un mois avant la vente aux associés et à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peuvent dans ce délai décider la dissolution de la Société ou l'acquisition des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Si la vente a lieu, les associés peuvent exercer la faculté de substitution qui leur est reconnue ci-dessus. Le non-exercice de cette faculté emporte agrément de l'acquéreur.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QUINZIÈME : GÉRANCE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est gérée par un ou plusieurs gérants nommés par l'assemblée générale ou par les associés dans les conditions de l'article Dix-Huit des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gérants sont pris parmi des associés ou en dehors d'eux.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b/>
          <w:sz w:val="20"/>
          <w:szCs w:val="20"/>
        </w:rPr>
        <w:lastRenderedPageBreak/>
        <w:t>Monsieur Thibault THOMAS</w:t>
      </w:r>
      <w:r w:rsidRPr="008C6274">
        <w:rPr>
          <w:sz w:val="20"/>
          <w:szCs w:val="20"/>
        </w:rPr>
        <w:t xml:space="preserve">, demeurant 9 Impasse les Haut de Sérignan, 34410 SERIGNAN est nommé gérant unique de la société pour une durée d'un an renouvelable par tacite reconduction en remplacement de Madame Anne-Marie THOMAS née BLONDEL démissionnaire.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pouvoirs du ou des gérants sont ceux ci-indiqués.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Au cas où la Gérance deviendrait entièrement vacante, il serait procédé à la nomination d'un ou plusieurs nouveaux gérants par une Assemblée Générale convoquée à la requête de l'associé le plus diligent, dans le délai d'un mois à compte la vacance.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rémunération de la Gérance sera fixée par l'Assemblée Générale.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 gérant pris en dehors des associés sera toujours révocable "ad nutum", sans motif et sans indemnité.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SEIZIÈME : POUVOIRS DE LA GÉRANCE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ou les gérants sont investis des pouvoirs les plus étendus pour agir au nom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représentent la Société vis-à-vis des tiers et toutes administrations publiques ou privées dans toutes circonstances pour tous règlements quelconques.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font exécuter toutes constructions et tous travaux, passent et acceptent tous traités et marchés, conformes : à l'objet social.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consentent et acceptent tous baux, quelle qu’en soit la durée ; ils font toutes sous-locations et consentent toutes cessions de baux, le tout aux prix, charges et conditions qu'ils jugent convenables, font toutes résiliations avec </w:t>
      </w:r>
      <w:r w:rsidR="00F44B64">
        <w:rPr>
          <w:sz w:val="20"/>
          <w:szCs w:val="20"/>
        </w:rPr>
        <w:t>ou sans indemnité</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acceptent tous transports et cessions de créances, d'indemnités, de dommages de guerre et autres.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contractent toutes assurances aux conditions qu'ils avisent, ils signent toutes polices et consentent toutes délégations.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reçoivent de l'Administration des Postes et toutes autres, tous envois chargés, recommandés ou non, et tous mandats ; ils font ouvrir et font fonctionner tous comptes chèques postaux au nom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font ouvrir au nom de la Société tous comptes courants à la Banque de France et dans toutes maisons de Banque ou Sociétés.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prennent en locations tous coffres-forts, compartiments de coffres-forts, y font tous dépôts en retirent le contenu.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signent et acceptent, négocient et endosser et acquittent tous chèques.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fixent le mode de libération des débiteurs de la Société, soit par annuités dont ils fixent le nombre et la quotité, soit autrement.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consentent toutes prorogations de délais pour le temps et aux conditions qu'ils avisent.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élisent domicile partout où besoin est.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Ils autorisent tous retraits, transferts, transports et aliénations de fonds, rentes, créances échues et à échoir et valeurs quelconques appartenant à la Société et ce, avec ou garantie et aux prix, charges et conditions qu'ils jugent convenables.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exécutent tous transferts et conversions valeurs mobilières, signent tous bordereaux, certificats et registres.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délèguent et transportent toutes créances, tous loyers et redevances échus et à échoir, également aux prix, charges et conditions qu'ils jugent convenables.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touchent toutes les sommes dues à la Société et ils effectuent tous retraits et cautionnements en espèces ou autrement, et ils en donnent quittance et décharge.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autorisent toutes instances judiciaires, soit en demandant, soit en défendant, ainsi que tous désistements.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nomment et révoquent les agents, employés représentants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fixent les traitements, salaires, remises, gratifications, participations proportionnelles et avantages de toute nature (qui seront portés aux frais généraux) de tous agents, employés, représentants et des diverses personnes par lui chargées de fonctions ou de missions.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arrêtent les états de situation et les comptes à soumettre à l'Assemblée Générale des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statuent sur toutes propositions à lui faire, arrêtent l'ordre du jour et font les Convocations.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exécutent les décisions prises par l'Assemblée Générale.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Sauf les pouvoirs ci-dessus conférés et qui sont exercés par chacun d'eux, soit séparément soit conjointement, le ou les gérants devront obtenir l'autorisation de l'Assemblée Générale ou des associés prise dans les conditions ci-après déterminées sous l'Article Dix-Huit.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I1 est par ailleurs donné à la gérance tous pouvoirs de :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r w:rsidRPr="008C6274">
        <w:rPr>
          <w:sz w:val="20"/>
          <w:szCs w:val="20"/>
        </w:rPr>
        <w:t xml:space="preserve">réaliser de toute personne ou société qui appartiendra et moyennant le prix et sous les charges, clauses et conditions que l'administration avisera, l'acquisition mentionnée à l'Article Deux des présents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r w:rsidRPr="008C6274">
        <w:rPr>
          <w:sz w:val="20"/>
          <w:szCs w:val="20"/>
        </w:rPr>
        <w:t xml:space="preserve">établir la désignation précise des droits fonciers acquis,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r w:rsidRPr="008C6274">
        <w:rPr>
          <w:sz w:val="20"/>
          <w:szCs w:val="20"/>
        </w:rPr>
        <w:t xml:space="preserve">payer le prix comptant et obliger la Société à le payer ainsi que toutes autres sommes prises en charge par la Société, le tout aux époques et de la manière que le mandataire avisera, avec ou sans subrogation,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r w:rsidRPr="008C6274">
        <w:rPr>
          <w:sz w:val="20"/>
          <w:szCs w:val="20"/>
        </w:rPr>
        <w:t xml:space="preserve">obliger la Société à l'exécution de toutes charges et conditions de vente, élire domicile et généralement faire le nécessaire.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DIX-SEPTIÈME : DÉLÉGATION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Tous les actes ou engagements concernant la Société sont valablement signés par le ou les gérants ou tout au mandataire muni d'une délégation spéciale.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gérants ou le gérant unique peuvent conférer à telles personnes que bon leur semble tous pouvoirs pour un ou plusieurs objets déterminés, dans la limite de ceux qui leur sont attribués. </w:t>
      </w:r>
    </w:p>
    <w:p w:rsidR="000F64EC" w:rsidRPr="008C6274" w:rsidRDefault="00000000" w:rsidP="006F2187">
      <w:pPr>
        <w:spacing w:after="0" w:line="259" w:lineRule="auto"/>
        <w:ind w:left="0" w:right="0" w:firstLine="0"/>
        <w:jc w:val="left"/>
        <w:rPr>
          <w:sz w:val="20"/>
          <w:szCs w:val="20"/>
        </w:rPr>
      </w:pPr>
      <w:r w:rsidRPr="008C6274">
        <w:rPr>
          <w:sz w:val="20"/>
          <w:szCs w:val="20"/>
        </w:rPr>
        <w:lastRenderedPageBreak/>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DIX-HUITIÈME : ASSEMBLÉES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des gérants chargé de provoquer la décision collective.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sont convoqués par le gérant quinze jours, à partir de la date d’envoi, au moins avant la réunion de l'assemblée par lettre recommandée.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 appartient aux associés d’informer le gérant(co-gérant) de tout changement d’adresse postale.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 associé peut se faire représenter aux réunions par un autre associé étant entendu qu'un mandataire ne peut représenter plus de deux associés.  </w:t>
      </w:r>
    </w:p>
    <w:p w:rsidR="000F64EC" w:rsidRPr="008C6274" w:rsidRDefault="00000000" w:rsidP="006F2187">
      <w:pPr>
        <w:ind w:left="0" w:right="0"/>
        <w:rPr>
          <w:sz w:val="20"/>
          <w:szCs w:val="20"/>
        </w:rPr>
      </w:pPr>
      <w:r w:rsidRPr="008C6274">
        <w:rPr>
          <w:sz w:val="20"/>
          <w:szCs w:val="20"/>
        </w:rPr>
        <w:t xml:space="preserve">En cas d’indivision, les indivisaires doivent désigner un seul représentant, qui disposera du droit de vote. </w:t>
      </w:r>
    </w:p>
    <w:p w:rsidR="000F64EC" w:rsidRPr="008C6274" w:rsidRDefault="00000000" w:rsidP="006F2187">
      <w:pPr>
        <w:ind w:left="0" w:right="0"/>
        <w:rPr>
          <w:sz w:val="20"/>
          <w:szCs w:val="20"/>
        </w:rPr>
      </w:pPr>
      <w:r w:rsidRPr="008C6274">
        <w:rPr>
          <w:sz w:val="20"/>
          <w:szCs w:val="20"/>
        </w:rPr>
        <w:t xml:space="preserve">L’usufruitier peut donner mandat à un nu-propriétaire de le représenter. Dans ce cas, il le fait pour l’ensemble de ses parts sociales, nonobstant toute indivision de la nue-propriété de celle-ci.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est présidée par le Gérant ou l'un des gérants. Si aucun des gérants n'est associé, elle est présidée par l'associé présent qui possède ou représente le plus nombre de parts sociales et qui accepte ces fonctions.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peut désigner un secrétaire qui peut être pris en dehors de ses associés.  </w:t>
      </w:r>
    </w:p>
    <w:p w:rsidR="000F64EC" w:rsidRPr="008C6274" w:rsidRDefault="00000000" w:rsidP="006F2187">
      <w:pPr>
        <w:ind w:left="0" w:right="0"/>
        <w:rPr>
          <w:sz w:val="20"/>
          <w:szCs w:val="20"/>
        </w:rPr>
      </w:pPr>
      <w:r w:rsidRPr="008C6274">
        <w:rPr>
          <w:sz w:val="20"/>
          <w:szCs w:val="20"/>
        </w:rPr>
        <w:t xml:space="preserve">Il n'est pas désigné de scrutateurs, à moins que la société ne vienne à comprendre plus de dix associés auquel cas le président de séance désigne le scrutateur au sein des membres de l'assemblée.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ne peut délibérer sur une question qui n'est pas inscrite à l'ordre du jour.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 est tenu une feuille de présence contenant les noms et domiciles des associés présents et représentés et le nombre de parts possédées par chacun d'eux. Cette feuille est signée de tous les associés présents. Elle est en outre certifiée par le Président.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associé à un nombre de voix égal au nombre de ses parts et de celles de ses mandants sans limitation.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ne peut valablement délibérer que si les associés présents ou représentés réunissent au moins la moitié des parts sociales composant le capital social.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sont prises à </w:t>
      </w:r>
      <w:r w:rsidRPr="008C6274">
        <w:rPr>
          <w:b/>
          <w:sz w:val="20"/>
          <w:szCs w:val="20"/>
        </w:rPr>
        <w:t>la majorité des voix</w:t>
      </w:r>
      <w:r w:rsidRPr="008C6274">
        <w:rPr>
          <w:sz w:val="20"/>
          <w:szCs w:val="20"/>
        </w:rPr>
        <w:t xml:space="preserve">. En cas de partage, la voix du Président est prépondérante.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Les décisions emportant changement de la nationalité de la Société ou augmentation de la responsabilité des associés à l'égard des tiers doivent être prises à l'unanimité.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des assemblées, sont constatées par des procès-verbaux signés du Président inscrits sur un registre spécial tenu au Siège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copies ou extraits de ces procès-verbaux à produire en Justice ou ailleurs, sont valablement certifiés par le Président de l'Assemblée et le ou les gérants.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pourront toujours, d'un commun accord et à tout moment, prendre toutes décisions qui leur paraitront nécessaires par acte notarié ou sous seings privés, ce qui dispensera de la formalité de la convocation et de la tenue d'une Assemblée Générale.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le cas où il n'existerait que deux associés, toutes décisions qui sont de la compétence de l'Assemblée Générale devront être prises d'un commun accord entre lesdits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 NEUVIÈME : EXERCICE SOCIAL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L'exercice social commence le 1er Janvier et finit 31 Décembre.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VINGTIÈME : AFFECTATION DES RÉSULTATS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Gérance tiendra une comptabilité régulière par un cabinet inscrit à l’ordre des experts-comptables, des opérations sociales et établira, conformément à l'Article Dix- Huit, un état de situation concernant l'indication de l'actif du passif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bénéfices sont constitués par les produits l'exercice, déduction faite des frais généraux et autres charges d'exploitation, ainsi que de tous amortissements et provisions.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Gérance propose à l'Assemblée l'emploi de ces bénéfices, soit par la constitution de réserves, et/ou par répartition de dividendes entre les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VINGT-ET-UNIÈME : DISSOLUTION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En cas de perte des trois quarts du capital social, l'Assemblée Générale doit être convoquée à l'effet de statuer, sur la question de savoir s'il y a lieu de continuer la Société ou de prononcer sa dissolution.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VINGT-DEUXIÈME : LIQUIDATION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 l'expiration de la société ou en cas de dissolution anticipée, l'Assemblée Générale règle, sur la proposition de la Gérance, le mode de liquidation et nomme un ou plusieurs liquidateurs dont elle détermine les pouvoirs.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est en liquidation dès l'instant de sa dissolution, quelle qu'en soit la cause. Cependant, cette dissolution ne produit ses effets à l'égard des tiers qu’à compter de la date à laquelle elle a été publiée au Registre du Commerce et des Sociétés.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liquidateurs peuvent, en vertu d'une délibération de l'Assemblée Générale, faire la cession ou l'apport à autre Société ou à toutes autres personnes, de tout ou partie des biens, droits et obligations-de la Société dissoute.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ind w:left="0" w:right="0"/>
        <w:rPr>
          <w:sz w:val="20"/>
          <w:szCs w:val="20"/>
        </w:rPr>
      </w:pPr>
      <w:r w:rsidRPr="008C6274">
        <w:rPr>
          <w:sz w:val="20"/>
          <w:szCs w:val="20"/>
        </w:rPr>
        <w:lastRenderedPageBreak/>
        <w:t>L'Assemblée Générale régulièrement constituée conserve pendant la liquidation les mêmes attributions que durant cours de la société.</w:t>
      </w: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VINGT-TROISIÈME : CONTESTATIONS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31"/>
        <w:ind w:left="0" w:right="0"/>
        <w:rPr>
          <w:sz w:val="20"/>
          <w:szCs w:val="20"/>
        </w:rPr>
      </w:pPr>
      <w:r w:rsidRPr="008C6274">
        <w:rPr>
          <w:sz w:val="20"/>
          <w:szCs w:val="20"/>
        </w:rPr>
        <w:t xml:space="preserve">Toute contestation qui pourrait s'élever pendant la durée de la société ou lors de la liquidation entre les associés relativement aux affaires sociales, sera soumise à la juridiction des tribunaux compétents du siège social. » </w: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p w:rsidR="000F64EC" w:rsidRPr="008C6274" w:rsidRDefault="000F64EC" w:rsidP="006F2187">
      <w:pPr>
        <w:spacing w:after="0" w:line="259" w:lineRule="auto"/>
        <w:ind w:left="0" w:right="0" w:firstLine="0"/>
        <w:jc w:val="left"/>
        <w:rPr>
          <w:sz w:val="20"/>
          <w:szCs w:val="20"/>
        </w:rPr>
      </w:pPr>
    </w:p>
    <w:p w:rsidR="000F64EC" w:rsidRPr="008C6274" w:rsidRDefault="00000000" w:rsidP="006F2187">
      <w:pPr>
        <w:pStyle w:val="Titre1"/>
        <w:ind w:left="0" w:right="0"/>
        <w:rPr>
          <w:szCs w:val="20"/>
        </w:rPr>
      </w:pPr>
      <w:r w:rsidRPr="008C6274">
        <w:rPr>
          <w:szCs w:val="20"/>
        </w:rPr>
        <w:t xml:space="preserve">DEUXIÈME RÉSOLUTION </w:t>
      </w:r>
    </w:p>
    <w:p w:rsidR="000F64EC" w:rsidRPr="008C6274" w:rsidRDefault="00000000" w:rsidP="006F2187">
      <w:pPr>
        <w:spacing w:after="0" w:line="259" w:lineRule="auto"/>
        <w:ind w:left="0" w:right="-23" w:firstLine="0"/>
        <w:jc w:val="left"/>
        <w:rPr>
          <w:sz w:val="20"/>
          <w:szCs w:val="20"/>
        </w:rPr>
      </w:pPr>
      <w:r w:rsidRPr="008C6274">
        <w:rPr>
          <w:rFonts w:eastAsia="Calibri"/>
          <w:i w:val="0"/>
          <w:noProof/>
          <w:sz w:val="20"/>
          <w:szCs w:val="20"/>
        </w:rPr>
        <mc:AlternateContent>
          <mc:Choice Requires="wpg">
            <w:drawing>
              <wp:inline distT="0" distB="0" distL="0" distR="0">
                <wp:extent cx="5795772" cy="6097"/>
                <wp:effectExtent l="0" t="0" r="0" b="0"/>
                <wp:docPr id="9232" name="Group 9232"/>
                <wp:cNvGraphicFramePr/>
                <a:graphic xmlns:a="http://schemas.openxmlformats.org/drawingml/2006/main">
                  <a:graphicData uri="http://schemas.microsoft.com/office/word/2010/wordprocessingGroup">
                    <wpg:wgp>
                      <wpg:cNvGrpSpPr/>
                      <wpg:grpSpPr>
                        <a:xfrm>
                          <a:off x="0" y="0"/>
                          <a:ext cx="5795772" cy="6097"/>
                          <a:chOff x="0" y="0"/>
                          <a:chExt cx="5795772" cy="6097"/>
                        </a:xfrm>
                      </wpg:grpSpPr>
                      <wps:wsp>
                        <wps:cNvPr id="12008" name="Shape 12008"/>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9232" style="width:456.36pt;height:0.480042pt;mso-position-horizontal-relative:char;mso-position-vertical-relative:line" coordsize="57957,60">
                <v:shape id="Shape 12009" style="position:absolute;width:57957;height:91;left:0;top:0;" coordsize="5795772,9144" path="m0,0l5795772,0l5795772,9144l0,9144l0,0">
                  <v:stroke weight="0pt" endcap="flat" joinstyle="miter" miterlimit="10" on="false" color="#000000" opacity="0"/>
                  <v:fill on="true" color="#000000"/>
                </v:shape>
              </v:group>
            </w:pict>
          </mc:Fallback>
        </mc:AlternateConten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p w:rsidR="000F64EC" w:rsidRPr="008C6274" w:rsidRDefault="00000000" w:rsidP="006F2187">
      <w:pPr>
        <w:spacing w:after="1" w:line="241" w:lineRule="auto"/>
        <w:ind w:left="0" w:right="-12"/>
        <w:rPr>
          <w:sz w:val="20"/>
          <w:szCs w:val="20"/>
        </w:rPr>
      </w:pPr>
      <w:r w:rsidRPr="008C6274">
        <w:rPr>
          <w:i w:val="0"/>
          <w:sz w:val="20"/>
          <w:szCs w:val="20"/>
        </w:rPr>
        <w:t xml:space="preserve">L'Assemblée Générale donne tous pouvoirs au porteur de copies ou d'extraits du présent procès-verbal pour remplir toutes formalités de droit. </w: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sectPr w:rsidR="000F64EC" w:rsidRPr="008C6274">
      <w:footerReference w:type="even" r:id="rId7"/>
      <w:footerReference w:type="default" r:id="rId8"/>
      <w:footerReference w:type="first" r:id="rId9"/>
      <w:pgSz w:w="11900" w:h="16840"/>
      <w:pgMar w:top="1417" w:right="1407" w:bottom="723" w:left="1418" w:header="720" w:footer="7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BCE" w:rsidRDefault="00323BCE">
      <w:pPr>
        <w:spacing w:after="0" w:line="240" w:lineRule="auto"/>
      </w:pPr>
      <w:r>
        <w:separator/>
      </w:r>
    </w:p>
  </w:endnote>
  <w:endnote w:type="continuationSeparator" w:id="0">
    <w:p w:rsidR="00323BCE" w:rsidRDefault="0032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4EC" w:rsidRDefault="00000000">
    <w:pPr>
      <w:spacing w:after="0" w:line="259" w:lineRule="auto"/>
      <w:ind w:left="0" w:right="6" w:firstLine="0"/>
      <w:jc w:val="right"/>
    </w:pPr>
    <w:r>
      <w:fldChar w:fldCharType="begin"/>
    </w:r>
    <w:r>
      <w:instrText xml:space="preserve"> PAGE   \* MERGEFORMAT </w:instrText>
    </w:r>
    <w:r>
      <w:fldChar w:fldCharType="separate"/>
    </w:r>
    <w:r>
      <w:rPr>
        <w:i w:val="0"/>
        <w:sz w:val="20"/>
      </w:rPr>
      <w:t>2</w:t>
    </w:r>
    <w:r>
      <w:rPr>
        <w:i w:val="0"/>
        <w:sz w:val="20"/>
      </w:rPr>
      <w:fldChar w:fldCharType="end"/>
    </w:r>
    <w:r>
      <w:rPr>
        <w:i w:val="0"/>
        <w:sz w:val="20"/>
      </w:rPr>
      <w:t xml:space="preserve"> </w:t>
    </w:r>
  </w:p>
  <w:p w:rsidR="000F64EC" w:rsidRDefault="00000000">
    <w:pPr>
      <w:spacing w:after="0" w:line="259" w:lineRule="auto"/>
      <w:ind w:left="0" w:right="0" w:firstLine="0"/>
      <w:jc w:val="left"/>
    </w:pPr>
    <w:r>
      <w:rPr>
        <w:i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4EC" w:rsidRDefault="00AE4820">
    <w:pPr>
      <w:spacing w:after="0" w:line="259" w:lineRule="auto"/>
      <w:ind w:left="0" w:right="6" w:firstLine="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p w:rsidR="000F64EC" w:rsidRDefault="00000000">
    <w:pPr>
      <w:spacing w:after="0" w:line="259" w:lineRule="auto"/>
      <w:ind w:left="0" w:right="0" w:firstLine="0"/>
      <w:jc w:val="left"/>
    </w:pPr>
    <w:r>
      <w:rPr>
        <w:i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8544"/>
      <w:docPartObj>
        <w:docPartGallery w:val="Page Numbers (Bottom of Page)"/>
        <w:docPartUnique/>
      </w:docPartObj>
    </w:sdtPr>
    <w:sdtContent>
      <w:sdt>
        <w:sdtPr>
          <w:id w:val="-1705238520"/>
          <w:docPartObj>
            <w:docPartGallery w:val="Page Numbers (Top of Page)"/>
            <w:docPartUnique/>
          </w:docPartObj>
        </w:sdtPr>
        <w:sdtContent>
          <w:p w:rsidR="00B5600F" w:rsidRDefault="00AE4820" w:rsidP="00B5600F">
            <w:pPr>
              <w:pStyle w:val="Pieddepage"/>
              <w:jc w:val="right"/>
            </w:pPr>
            <w:r w:rsidRPr="00AE4820">
              <w:rPr>
                <w:rFonts w:ascii="Arial" w:hAnsi="Arial" w:cs="Arial"/>
                <w:i/>
                <w:iCs/>
                <w:sz w:val="16"/>
                <w:szCs w:val="16"/>
              </w:rPr>
              <w:t xml:space="preserve">Page </w:t>
            </w:r>
            <w:r w:rsidRPr="00AE4820">
              <w:rPr>
                <w:rFonts w:ascii="Arial" w:hAnsi="Arial" w:cs="Arial"/>
                <w:b/>
                <w:bCs/>
                <w:i/>
                <w:iCs/>
                <w:sz w:val="16"/>
                <w:szCs w:val="16"/>
              </w:rPr>
              <w:fldChar w:fldCharType="begin"/>
            </w:r>
            <w:r w:rsidRPr="00AE4820">
              <w:rPr>
                <w:rFonts w:ascii="Arial" w:hAnsi="Arial" w:cs="Arial"/>
                <w:b/>
                <w:bCs/>
                <w:i/>
                <w:iCs/>
                <w:sz w:val="16"/>
                <w:szCs w:val="16"/>
              </w:rPr>
              <w:instrText>PAGE  \* Arabic  \* MERGEFORMAT</w:instrText>
            </w:r>
            <w:r w:rsidRPr="00AE4820">
              <w:rPr>
                <w:rFonts w:ascii="Arial" w:hAnsi="Arial" w:cs="Arial"/>
                <w:b/>
                <w:bCs/>
                <w:i/>
                <w:iCs/>
                <w:sz w:val="16"/>
                <w:szCs w:val="16"/>
              </w:rPr>
              <w:fldChar w:fldCharType="separate"/>
            </w:r>
            <w:r w:rsidRPr="00AE4820">
              <w:rPr>
                <w:rFonts w:ascii="Arial" w:hAnsi="Arial" w:cs="Arial"/>
                <w:b/>
                <w:bCs/>
                <w:i/>
                <w:iCs/>
                <w:sz w:val="16"/>
                <w:szCs w:val="16"/>
              </w:rPr>
              <w:t>1</w:t>
            </w:r>
            <w:r w:rsidRPr="00AE4820">
              <w:rPr>
                <w:rFonts w:ascii="Arial" w:hAnsi="Arial" w:cs="Arial"/>
                <w:b/>
                <w:bCs/>
                <w:i/>
                <w:iCs/>
                <w:sz w:val="16"/>
                <w:szCs w:val="16"/>
              </w:rPr>
              <w:fldChar w:fldCharType="end"/>
            </w:r>
            <w:r w:rsidRPr="00AE4820">
              <w:rPr>
                <w:rFonts w:ascii="Arial" w:hAnsi="Arial" w:cs="Arial"/>
                <w:i/>
                <w:iCs/>
                <w:sz w:val="16"/>
                <w:szCs w:val="16"/>
              </w:rPr>
              <w:t xml:space="preserve"> sur </w:t>
            </w:r>
            <w:r w:rsidRPr="00AE4820">
              <w:rPr>
                <w:rFonts w:ascii="Arial" w:hAnsi="Arial" w:cs="Arial"/>
                <w:b/>
                <w:bCs/>
                <w:i/>
                <w:iCs/>
                <w:sz w:val="16"/>
                <w:szCs w:val="16"/>
              </w:rPr>
              <w:fldChar w:fldCharType="begin"/>
            </w:r>
            <w:r w:rsidRPr="00AE4820">
              <w:rPr>
                <w:rFonts w:ascii="Arial" w:hAnsi="Arial" w:cs="Arial"/>
                <w:b/>
                <w:bCs/>
                <w:i/>
                <w:iCs/>
                <w:sz w:val="16"/>
                <w:szCs w:val="16"/>
              </w:rPr>
              <w:instrText>NUMPAGES  \* Arabic  \* MERGEFORMAT</w:instrText>
            </w:r>
            <w:r w:rsidRPr="00AE4820">
              <w:rPr>
                <w:rFonts w:ascii="Arial" w:hAnsi="Arial" w:cs="Arial"/>
                <w:b/>
                <w:bCs/>
                <w:i/>
                <w:iCs/>
                <w:sz w:val="16"/>
                <w:szCs w:val="16"/>
              </w:rPr>
              <w:fldChar w:fldCharType="separate"/>
            </w:r>
            <w:r w:rsidRPr="00AE4820">
              <w:rPr>
                <w:rFonts w:ascii="Arial" w:hAnsi="Arial" w:cs="Arial"/>
                <w:b/>
                <w:bCs/>
                <w:i/>
                <w:iCs/>
                <w:sz w:val="16"/>
                <w:szCs w:val="16"/>
              </w:rPr>
              <w:t>2</w:t>
            </w:r>
            <w:r w:rsidRPr="00AE4820">
              <w:rPr>
                <w:rFonts w:ascii="Arial" w:hAnsi="Arial" w:cs="Arial"/>
                <w:b/>
                <w:bCs/>
                <w:i/>
                <w:iCs/>
                <w:sz w:val="16"/>
                <w:szCs w:val="16"/>
              </w:rPr>
              <w:fldChar w:fldCharType="end"/>
            </w:r>
          </w:p>
        </w:sdtContent>
      </w:sdt>
    </w:sdtContent>
  </w:sdt>
  <w:p w:rsidR="000F64EC" w:rsidRDefault="000F64EC">
    <w:pPr>
      <w:spacing w:after="0" w:line="259" w:lineRule="auto"/>
      <w:ind w:left="0" w:right="6"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BCE" w:rsidRDefault="00323BCE">
      <w:pPr>
        <w:spacing w:after="0" w:line="240" w:lineRule="auto"/>
      </w:pPr>
      <w:r>
        <w:separator/>
      </w:r>
    </w:p>
  </w:footnote>
  <w:footnote w:type="continuationSeparator" w:id="0">
    <w:p w:rsidR="00323BCE" w:rsidRDefault="00323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02C7"/>
    <w:multiLevelType w:val="hybridMultilevel"/>
    <w:tmpl w:val="5590CFCA"/>
    <w:lvl w:ilvl="0" w:tplc="2E7E17D2">
      <w:start w:val="1"/>
      <w:numFmt w:val="bullet"/>
      <w:lvlText w:val="-"/>
      <w:lvlJc w:val="left"/>
      <w:pPr>
        <w:ind w:left="772"/>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3A928606">
      <w:start w:val="1"/>
      <w:numFmt w:val="bullet"/>
      <w:lvlText w:val="o"/>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AC6772E">
      <w:start w:val="1"/>
      <w:numFmt w:val="bullet"/>
      <w:lvlText w:val="▪"/>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3C8F0C2">
      <w:start w:val="1"/>
      <w:numFmt w:val="bullet"/>
      <w:lvlText w:val="•"/>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D98C56C2">
      <w:start w:val="1"/>
      <w:numFmt w:val="bullet"/>
      <w:lvlText w:val="o"/>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C916CA18">
      <w:start w:val="1"/>
      <w:numFmt w:val="bullet"/>
      <w:lvlText w:val="▪"/>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8D72F8FC">
      <w:start w:val="1"/>
      <w:numFmt w:val="bullet"/>
      <w:lvlText w:val="•"/>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EFA6CB4">
      <w:start w:val="1"/>
      <w:numFmt w:val="bullet"/>
      <w:lvlText w:val="o"/>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D22464F2">
      <w:start w:val="1"/>
      <w:numFmt w:val="bullet"/>
      <w:lvlText w:val="▪"/>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num w:numId="1" w16cid:durableId="167615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EC"/>
    <w:rsid w:val="00094C77"/>
    <w:rsid w:val="000F64EC"/>
    <w:rsid w:val="00323BCE"/>
    <w:rsid w:val="00435510"/>
    <w:rsid w:val="006F2187"/>
    <w:rsid w:val="008C6274"/>
    <w:rsid w:val="00A320B1"/>
    <w:rsid w:val="00A428C3"/>
    <w:rsid w:val="00AE4820"/>
    <w:rsid w:val="00B5600F"/>
    <w:rsid w:val="00BC0071"/>
    <w:rsid w:val="00E66F1A"/>
    <w:rsid w:val="00F13837"/>
    <w:rsid w:val="00F34E95"/>
    <w:rsid w:val="00F44B64"/>
    <w:rsid w:val="00F97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437AE63-08E7-4027-89DD-079BC41A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718" w:right="4" w:hanging="10"/>
      <w:jc w:val="both"/>
    </w:pPr>
    <w:rPr>
      <w:rFonts w:ascii="Arial" w:eastAsia="Arial" w:hAnsi="Arial" w:cs="Arial"/>
      <w:i/>
      <w:color w:val="000000"/>
      <w:sz w:val="16"/>
    </w:rPr>
  </w:style>
  <w:style w:type="paragraph" w:styleId="Titre1">
    <w:name w:val="heading 1"/>
    <w:next w:val="Normal"/>
    <w:link w:val="Titre1Car"/>
    <w:uiPriority w:val="9"/>
    <w:qFormat/>
    <w:pPr>
      <w:keepNext/>
      <w:keepLines/>
      <w:spacing w:after="0"/>
      <w:ind w:left="10" w:right="9" w:hanging="10"/>
      <w:outlineLvl w:val="0"/>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5600F"/>
    <w:pPr>
      <w:tabs>
        <w:tab w:val="center" w:pos="4536"/>
        <w:tab w:val="right" w:pos="9072"/>
      </w:tabs>
      <w:spacing w:after="0" w:line="240" w:lineRule="auto"/>
    </w:pPr>
  </w:style>
  <w:style w:type="character" w:customStyle="1" w:styleId="En-tteCar">
    <w:name w:val="En-tête Car"/>
    <w:basedOn w:val="Policepardfaut"/>
    <w:link w:val="En-tte"/>
    <w:uiPriority w:val="99"/>
    <w:rsid w:val="00B5600F"/>
    <w:rPr>
      <w:rFonts w:ascii="Arial" w:eastAsia="Arial" w:hAnsi="Arial" w:cs="Arial"/>
      <w:i/>
      <w:color w:val="000000"/>
      <w:sz w:val="16"/>
    </w:rPr>
  </w:style>
  <w:style w:type="paragraph" w:styleId="Pieddepage">
    <w:name w:val="footer"/>
    <w:basedOn w:val="Normal"/>
    <w:link w:val="PieddepageCar"/>
    <w:uiPriority w:val="99"/>
    <w:unhideWhenUsed/>
    <w:rsid w:val="00B5600F"/>
    <w:pPr>
      <w:tabs>
        <w:tab w:val="center" w:pos="4680"/>
        <w:tab w:val="right" w:pos="9360"/>
      </w:tabs>
      <w:spacing w:after="0" w:line="240" w:lineRule="auto"/>
      <w:ind w:left="0" w:right="0" w:firstLine="0"/>
      <w:jc w:val="left"/>
    </w:pPr>
    <w:rPr>
      <w:rFonts w:asciiTheme="minorHAnsi" w:eastAsiaTheme="minorEastAsia" w:hAnsiTheme="minorHAnsi" w:cs="Times New Roman"/>
      <w:i w:val="0"/>
      <w:color w:val="auto"/>
      <w:kern w:val="0"/>
      <w:sz w:val="22"/>
      <w14:ligatures w14:val="none"/>
    </w:rPr>
  </w:style>
  <w:style w:type="character" w:customStyle="1" w:styleId="PieddepageCar">
    <w:name w:val="Pied de page Car"/>
    <w:basedOn w:val="Policepardfaut"/>
    <w:link w:val="Pieddepage"/>
    <w:uiPriority w:val="99"/>
    <w:rsid w:val="00B5600F"/>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4308</Words>
  <Characters>23700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MT - Texte des résolutions-TT</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 Texte des résolutions-TT</dc:title>
  <dc:subject/>
  <dc:creator>Moi-même</dc:creator>
  <cp:keywords/>
  <cp:lastModifiedBy>Th. THOMAS</cp:lastModifiedBy>
  <cp:revision>2</cp:revision>
  <dcterms:created xsi:type="dcterms:W3CDTF">2023-06-18T13:06:00Z</dcterms:created>
  <dcterms:modified xsi:type="dcterms:W3CDTF">2023-06-18T13:06:00Z</dcterms:modified>
</cp:coreProperties>
</file>